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D-504/2024 vom 7. Februar 2024</w:t>
      </w:r>
    </w:p>
    <w:p>
      <w:r>
        <w:t>Bundesverwaltungsgericht, 2024-02-07, FR</w:t>
      </w:r>
    </w:p>
    <w:p>
      <w:r>
        <w:rPr>
          <w:b/>
        </w:rPr>
        <w:t xml:space="preserve">Quelle: </w:t>
      </w:r>
      <w:r>
        <w:t>https://mcp.opencaselaw.ch/entscheid/bvger_D-504_2024</w:t>
      </w:r>
    </w:p>
    <w:p>
      <w:r>
        <w:t>FR: TAF D-504/2024 du 7 février 2024</w:t>
      </w:r>
    </w:p>
    <w:p>
      <w:r>
        <w:t>IT: TAF D-504/2024 del 7 febbraio 2024</w:t>
      </w:r>
    </w:p>
    <w:p>
      <w:pPr>
        <w:pStyle w:val="Heading2"/>
      </w:pPr>
      <w:r>
        <w:t>Regeste</w:t>
      </w:r>
    </w:p>
    <w:p>
      <w:r>
        <w:t>Protection des données</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querellée ayant été rendue le 20 décembre 2023, le nouveau droit s’applique.</w:t>
      </w:r>
    </w:p>
    <w:p>
      <w:r>
        <w:t>D-504/2024 Page 4</w:t>
      </w:r>
    </w:p>
    <w:p>
      <w:r>
        <w:rPr>
          <w:b/>
        </w:rPr>
        <w:t>E. 1.2</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20 décembre 2023 en tant qu’elle porte sur le la modification des données personnelles de l’intéressé figurant sur SYMIC et contre laquelle ce dernier a recouru, satisfait en outre aux conditions de l'art. 5 PA et n'entre pas dans le champ d'exclusion de l'art. 32 LTAF.</w:t>
      </w:r>
    </w:p>
    <w:p>
      <w:r>
        <w:rPr>
          <w:b/>
        </w:rPr>
        <w:t>E. 1.3</w:t>
      </w:r>
    </w:p>
    <w:p>
      <w:r>
        <w:t>La procédure est régie par la PA, sous réserve de dispositions particulières de la LTAF (art. 37 LTAF).</w:t>
      </w:r>
    </w:p>
    <w:p>
      <w:r>
        <w:rPr>
          <w:b/>
        </w:rPr>
        <w:t>E. 1.4</w:t>
      </w:r>
    </w:p>
    <w:p>
      <w:r>
        <w:t>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 la Cour IV pour connaître de cette affaire est donnée. Par ailleurs, dans cette matière, le Tribunal ne statue pas de manière définitive, une voie de droit étant ouverte au Tribunal fédéral (art. 82 ss LTF [RS 173.110] ; cf. arrêt du TF 1C_452/2021 du 23 novembre 2022 consid. 1).</w:t>
      </w:r>
    </w:p>
    <w:p>
      <w:r>
        <w:rPr>
          <w:b/>
        </w:rPr>
        <w:t>E. 1.5</w:t>
      </w:r>
    </w:p>
    <w:p>
      <w:r>
        <w:t>L’intéressé a qualité pour recourir (art. 48 al. 1 PA). Présenté dans la forme (art. 52 al. 1 PA) et dans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w:t>
      </w:r>
    </w:p>
    <w:p>
      <w:r>
        <w:t>D-504/2024 Page 5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Verwaltungsrechtspflege des Bundes, 3ème éd., 2013, p. 398 ch. 1136).</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ce registre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w:t>
      </w:r>
    </w:p>
    <w:p>
      <w:r>
        <w:t>D-504/2024 Page 6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consid.2.2 ; A-3153/2017 consid. 3.2 ainsi que réf. cit.).</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w:t>
      </w:r>
    </w:p>
    <w:p>
      <w:r>
        <w:t>Il convient d’examiner en premier lieu les griefs formels soulevés par l’intéressé, ceux-ci étant susceptibles d’entraîner l’annulation de la décision attaquée indépendamment des chances de succès du recours sur le fond (cf. ATF 144 I 11 consid. 5.3 et jurisp. cit. ; ATAF 2019 VII/6 consid. 4.1 ; 2013/34 consid. 4.2 ; 2013/23 consid. 6.1.3).</w:t>
      </w:r>
    </w:p>
    <w:p>
      <w:r>
        <w:rPr>
          <w:b/>
        </w:rPr>
        <w:t>E. 4.1</w:t>
      </w:r>
    </w:p>
    <w:p>
      <w:r>
        <w:t>Dans son recours, l’intéressé a reproché au SEM d’avoir violé son devoir d’instruction, n’ayant pas entrepris les mesures requises permettant de déterminer son âge et n’ayant pas considéré l’ensemble des éléments de la situation, notamment le contexte socio-éducatif dans lequel il avait évolué. De même, ledit Secrétariat n’aurait pas apprécié les documents produits et aurait dû mettre en place une expertise médico-légale visant à déterminer son âge.</w:t>
      </w:r>
    </w:p>
    <w:p>
      <w:r>
        <w:rPr>
          <w:b/>
        </w:rPr>
        <w:t>E. 4.2</w:t>
      </w:r>
    </w:p>
    <w:p>
      <w:r>
        <w:t>; ATAF 2019 I/6 consid. 5.3-5.4 ; 2009/54 consid. 4.1 et réf. cit. ; arrêt du Tribunal E-843/2023 du 21 février 2023 consid. 2.6 et réf. cit.).</w:t>
      </w:r>
    </w:p>
    <w:p>
      <w:r>
        <w:rPr>
          <w:b/>
        </w:rPr>
        <w:t>E. 4.3</w:t>
      </w:r>
    </w:p>
    <w:p>
      <w:r>
        <w:t>Pour savoir si une donnée est exacte ou non, le SEM, qui se préoccupe surtout dans une procédure d’asile de savoir si le requérant est majeur ou mineur,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et 6.3 à 6.5).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arrêt du Tribunal fédéral 1B_425/2021 du 17 novembre 2021 consid.</w:t>
      </w:r>
    </w:p>
    <w:p>
      <w:r>
        <w:rPr>
          <w:b/>
        </w:rPr>
        <w:t>E. 4.4</w:t>
      </w:r>
    </w:p>
    <w:p>
      <w:r>
        <w:t>D’abord, il convient de préciser que le SEM a procédé à une appréciation globale de l’ensemble des faits pertinents de la cause, ayant de plus motivé sa décision à suffisance et formulé ses conclusions au chiffre 1 du dispositif.</w:t>
      </w:r>
    </w:p>
    <w:p>
      <w:r>
        <w:t>D-504/2024 Page 8 Constatant l’absence de document d’identité au sens de l’art. 1a let. c de l'ordonnance 1 du 11 août 1999 sur l'asile (OA1, RS 142.), le SEM s’est fondé à bon droit sur les conclusions tirées de l’audition « RMNA » du 22 novembre 2023 pour déterminer l’âge du recourant. Au cours de la procédure, il a instruit la question centrale de la date de naissance de l’intéressé en le questionnant directement à ce propos (cf. procès-verbal de l’audition [ci-après : p.-v.] du 22 novembre 2023, pt 1.06), en l’interrogeant sur son âge lors des différentes étapes de sa vie (cf. idem, pts 1.17.04, 2.02, 3.01, 4.02 et 5.01) et en lui accordant spécifiquement un droit d’être entendu à ce sujet (cf. courrier du SEM du 27 novembre 2023 et observations de l’intéressé du 29 novembre 2023). Ce faisant, le SEM a établi de manière appropriée l’état de fait déterminant en lien avec l’âge du requérant et pris en compte toutes les pièces pertinentes du dossier, en particulier les copies du jugement supplétif tenant lieu d’acte de naissance de la (…) de C._______ du (…) 2023 et de l’extrait du registre d’état civil de la ville de C._______ du (…) 2023 (cf. décision du SEM du 20 décembre 2023 p. 4s.). La question de savoir si c’est à bon escient qu’il a retenu que le discours de l’intéressé comportait des contradictions, incohérences et imprécisions relève du fond de l’affaire, et sera examinée dans le considérant y relatif (cf. consid 5.2). Il sied de rappeler que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 Il y a également lieu de constater que l’intéressé a été assisté par une représentante juridique tout au long de la procédure de première instance – notamment lors de l’audition « RMNA » du 22 novembre 2023 – et, partant, a pu bénéficier des conseils ainsi que de l’aide nécessaires à la pleine défense de ses intérêts (art. 17 al. 3 let. a et 102f ss LAsi, art. 7 al. 2bis et 52a OA 1). S’agissant de l’audition du 2023, celle-ci a été conduite de façon adaptée à l’âge que l’intéressé a allégué avoir à cette date-là. Il ne ressort du procès-verbal aucun élément permettant d’admettre qu’il aurait alors été privé de la possibilité de répondre de manière libre et spontanée aux questions qui lui ont été posées. Menée en présence d’un auditeur, d’un interprète qu’il a déclaré bien comprendre ainsi que de sa représentante légale de Caritas, agissant aussi comme personne de confiance, cette audition a permis de récolter un nombre</w:t>
      </w:r>
    </w:p>
    <w:p>
      <w:r>
        <w:t>D-504/2024 Page 9 important d’informations susceptibles de fonder un examen préjudiciel sur la qualité de mineur dont se prévaut l’intéressé.</w:t>
      </w:r>
    </w:p>
    <w:p>
      <w:r>
        <w:rPr>
          <w:b/>
        </w:rPr>
        <w:t>E. 4.5</w:t>
      </w:r>
    </w:p>
    <w:p>
      <w:r>
        <w:t>Au vu de ce qui précède, le SEM pouvait, sur la base des éléments à sa disposition et par appréciation anticipée des preuves, renoncer à ordonner une expertise visant à déterminer plus précisément l’âge de l’intéressé, étant encore rappelé ici que la disposition légale relative à cette mesure d’instruction (art. 17 al. 3bis LAsi) est rédigée de manière potestative (Kann-Vorschrift).</w:t>
      </w:r>
    </w:p>
    <w:p>
      <w:r>
        <w:rPr>
          <w:b/>
        </w:rPr>
        <w:t>E. 4.6</w:t>
      </w:r>
    </w:p>
    <w:p>
      <w:r>
        <w:t>Mal fondés, les griefs d’établissement inexact ou incomplet de l’état de fait pertinent et de violation de la maxime inquisitoire en relation avec l’âge de l’intéressé doivent être écartés.</w:t>
      </w:r>
    </w:p>
    <w:p>
      <w:r>
        <w:rPr>
          <w:b/>
        </w:rPr>
        <w:t>E. 5.1</w:t>
      </w:r>
    </w:p>
    <w:p>
      <w:r>
        <w:t>Cela étant, il sied de constater que les pièces que l’intéressé a produites, soit des photocopies d’un jugement supplétif tenant lieu d’acte de naissance de la (…) de C._______ du (…) 2023 ainsi que d’un extrait de registre d’état civil de la ville de C._______ du (…) 2023, ne constituent pas des documents d’identité, au sens de l’art. 1a let. c OA1, de nature à prouver sa prétendue minorité, ou, à tout le moins, de la rendre vraisemblable. En outre, dans la mesure où le support sur lequel ces documents figurent sont des photocopies, de surcroît de mauvaise qualité, leur valeur probante est d’emblée sujette à caution, un tel procédé n’excluant pas des manipulations, par exemple des ajouts, des modifications ou encore des suppressions d’informations, tels que des chiffres et des lettres (cf. arrêt du Tribunal D-2513/2023 du 29 août 2023 consid. 4.2.3). Par ailleurs, la date de naissance que ces documents sont susceptibles de certifier est basée sur l’audition de témoins, ayant eu lieu en (…) 2023, soit plus de (…) ans après la naissance de l’intéressé. De plus, le recourant n’a pas expliqué les raisons pour lesquelles il ne pourrait pas envoyer les originaux de ces documents. Par ailleurs, le lieu de naissance qui y figure, à savoir la Commune de D._______ (C._______) ne correspond pas à la déclaration faite par l’intéressé lors de son audition du 22 novembre 2023, selon laquelle il serait né à E._______ (cf. p.-v. du 22 novembre 2023 pt. 1.07), les deux lieux étant séparés par plus de (…) km. Enfin, selon le jugement supplétif tenant lieu d’acte de naissance, la requête a été déposée, le (…) 2023, par un certain F._______, soit le père du recourant, selon les indications données par celui-ci sur l’identité de son père lors de son audition (cf. p.-v. du 22 novembre 2023 pts 1.16.01 et</w:t>
      </w:r>
    </w:p>
    <w:p>
      <w:r>
        <w:t>D-504/2024 Page 10 1.16.02). Toutefois, l’intéressé a déclaré que son père était décédé « il y a longtemps » (cf. p.-v. du 22 novembre 2023 pt. 1.17.04, 3.01 et 3.02). Dans ces conditions, les moyens de preuve produits par le recourant ne sont pas propres à prouver son âge.</w:t>
      </w:r>
    </w:p>
    <w:p>
      <w:r>
        <w:rPr>
          <w:b/>
        </w:rPr>
        <w:t>E. 5.2</w:t>
      </w:r>
    </w:p>
    <w:p>
      <w:r>
        <w:t>En l’absence de preuve formelle, il reste donc à examiner les déclarations de l’intéressé concernant son âge, pour apprécier les éléments en faveur, comme en défaveur, de leur vraisemblance. Sur ce point, c’est à bon droit que le SEM a retenu que la minorité de l’intéressé paraissait invraisemblable, ses déclarations à ce sujet étant restées superficielles ainsi qu’en partie contradictoires et illogiques. En effet, force est d’abord de constater que son récit relatif notamment à des évènements marquants de sa vie ne contient aucune indication précise et objective permettant d’asseoir ses allégations relatives à son âge. Bien plus, lorsqu’il lui a été posé des questions destinées à établir des repères temporels et, par conséquent, à déterminer son âge, ses réponses sont restées à de très nombreuses reprises pour le moins évasives (« Je ne me rappelle pas ; « Je ne sais pas » ; cf. p.-v. du 22 novembre 2023, pt. 1.06, 1.17.04, 2.02, 3.01 et 3.02). Ce comportement est en contradiction avec le discours plus libre et détaillé que l’intéressé a tenu lorsqu’il a été entendu sur son voyage (cf. p.-v. du 22 novembre 2023, pt. 5.01). Ensuite, après avoir déclaré être âgé de (…) ans, le recourant a allégué ne pas se rappeler de sa date de naissance (cf. p.-v. du 22 novembre 2023, pt. 1.06). Entendu sur les raisons pour lesquelles il ne se souvenait pas de cette date, il a répété qu’il ne s’en rappelait pas. De même, ses déclarations sur la manière dont il aurait appris sa date de naissance sont pour le moins imprécises. D’abord, il en aurait eu connaissance par sa mère quand il avait (…) ans, mais ne se rappellerait plus dans quelles circonstances. Ensuite c’est un ami qui lui aurait souvent dit qu’ils avaient le même âge. En outre, ses parents lui auraient relevé son âge quand il travaillait dans un (…) de C._______, alors qu’il ne se rappellerait plus quel âge il avait quand il a appris son métier dans cette entreprise (cf. p.-v. du 22 novembre 2023, pt. 1.06 et 1.17.04). De plus, il n’a pas répondu à la question de savoir comment il se débrouillait au quotidien sans connaître son âge (cf. p.-v. du 22 novembre 2023 pt. 1.06). Enfin, à son arrivée en Suisse, l’intéressé a été en mesure de remplir personnellement le formulaire de données personnelles avec son nom, prénom et âge, alors qu’il a déclaré ne savoir ni lire ni écrire. Rendu attentif à cet illogisme, il a alors expliqué que « ce n’était pas très bien écrit ». Il est toutefois constaté que,</w:t>
      </w:r>
    </w:p>
    <w:p>
      <w:r>
        <w:t>D-504/2024 Page 11 contrairement à ce qu’il soutient, les rubriques en cause ont été remplies avec une écriture lisible, sans faute ni rature (cf. document n°1290472-2/2 du dossier N 833 084). Les tentatives d’explications fournies par le recourant au stade du recours pour expliquer ces contradictions, imprécisions et incohérences, notamment son jeune âge, son faible niveau d’éducation et le stress dans lequel il se serait trouvé, tombent à faux. En effet, comme déjà relevé, le caractère évasif de ses réponses s’est pour l’essentiel limité, de manière opportuniste, aux seules questions destinées à déterminer son âge et à celles relatives à son environnement dans son pays d’origine, alors qu’il a pu répondre sans hésitation, ni atermoiement, et de manière nettement plus précise aux autres questions, comme celles relatives à son voyage jusqu’en Suisse. Enfin, il ressort du procès-verbal d’audition du 22 novembre 2023 que sa représentante légale a eu l’occasion d’intervenir, que le chargé d’audition s’est également préoccupé de son état et qu’aucun problème de compréhension majeur n’est apparu durant son audition.</w:t>
      </w:r>
    </w:p>
    <w:p>
      <w:r>
        <w:rPr>
          <w:b/>
        </w:rPr>
        <w:t>E. 5.3</w:t>
      </w:r>
    </w:p>
    <w:p>
      <w:r>
        <w:t>Sur la base de ce qui précède, il ne peut donc être reproché au SEM d’avoir accordé une valeur trop importante aux éléments plaidant en défaveur de la minorité alléguée de l’intéressé. Le SEM pouvait dès lors légitimement retenir, compte tenu du procès-verbal d’audition RMNA, que la prétendue minorité du recourant n’était pas hautement probable et le considérer comme majeur et considérer surtout que la date de naissance alléguée n’était pas crédible. Il ne se justifie ainsi pas de procéder à la rectification demandée, au sens de l’art. 6 al. 5 LPD, le recourant n’étant pas parvenu à démontrer l’exactitude, ni la haute vraisemblance de la modification requise. Le caractère litigieux de la date de naissance retenue est pour le reste déjà mentionné dans le système SYMIC (art. 41 al. 4 LPD).</w:t>
      </w:r>
    </w:p>
    <w:p>
      <w:r>
        <w:rPr>
          <w:b/>
        </w:rPr>
        <w:t>E. 6</w:t>
      </w:r>
    </w:p>
    <w:p>
      <w:r>
        <w:t>Dans ces conditions, le recours est rejeté et la décision attaquée confirmée.</w:t>
      </w:r>
    </w:p>
    <w:p>
      <w:r>
        <w:rPr>
          <w:b/>
        </w:rPr>
        <w:t>E. 7</w:t>
      </w:r>
    </w:p>
    <w:p>
      <w:r>
        <w:t>Dans la mesure où il est immédiatement statué sur le fond, les requêtes relatives à l’exemption du paiement d’une avance de frais et à la restitution de l’effet suspensif deviennent sans objet.</w:t>
      </w:r>
    </w:p>
    <w:p>
      <w:r>
        <w:t>D-504/2024 Page 12</w:t>
      </w:r>
    </w:p>
    <w:p>
      <w:r>
        <w:rPr>
          <w:b/>
        </w:rPr>
        <w:t>E. 8.1</w:t>
      </w:r>
    </w:p>
    <w:p>
      <w:r>
        <w:t>Les conclusions du recours étant d’emblée vouées à l’échec, la demande d’assistance judiciaire partielle doit être rejetée (art. 65 al. 1 PA).</w:t>
      </w:r>
    </w:p>
    <w:p>
      <w:r>
        <w:rPr>
          <w:b/>
        </w:rPr>
        <w:t>E. 8.2</w:t>
      </w:r>
    </w:p>
    <w:p>
      <w:r>
        <w:t>Vu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 Compte tenu des circonstances particulières du cas d'espèce, il y a toutefois lieu de renoncer à la perception de frais de procédure (art. 63 al. 1 in fine PA et 6 FITAF).</w:t>
      </w:r>
    </w:p>
    <w:p>
      <w:r>
        <w:t>(dispositif page suivante)</w:t>
      </w:r>
    </w:p>
    <w:p>
      <w:r>
        <w:t>D-504/2024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