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D-5046/2006 vom 18. Juli 2007</w:t>
      </w:r>
    </w:p>
    <w:p>
      <w:r>
        <w:t>Bundesverwaltungsgericht, 2007-07-18, DE</w:t>
      </w:r>
    </w:p>
    <w:p>
      <w:r>
        <w:rPr>
          <w:b/>
        </w:rPr>
        <w:t xml:space="preserve">Quelle: </w:t>
      </w:r>
      <w:r>
        <w:t>https://mcp.opencaselaw.ch/entscheid/bvger_D-5046_2006</w:t>
      </w:r>
    </w:p>
    <w:p>
      <w:r>
        <w:t>FR: TAF D-5046/2006 du 18 juillet 2007</w:t>
      </w:r>
    </w:p>
    <w:p>
      <w:r>
        <w:t>IT: TAF D-5046/2006 del 18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Abs. 1 und Art.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rügt, das Bundesamt stütze sich in seinem Entscheid auf ein mangelhaftes Lingua-Gutachten und gehe so zu Unrecht von der fehlenden Glaubhaftigkeit der Vorbringen aus.</w:t>
      </w:r>
    </w:p>
    <w:p>
      <w:r>
        <w:rPr>
          <w:b/>
        </w:rPr>
        <w:t>E. 4.2</w:t>
      </w:r>
    </w:p>
    <w:p>
      <w:r>
        <w:t>Dieser Einschätzung kann nicht gefolgt werden. Eine Durchsicht des vorinstanzlichen Gutachtens vom 20. Januar 2005 ergibt, dass dieses offensichtlich sorgfältig durch eine hiezu kompetente Person erstellt wurde. Zum Beweiswert eines solchen Gutachtens kann im Übrigen auf die Entscheidungen und Mitteilungen der Schweizerischen Asylrekurskommission/EMARK 1998 Nr. 34 E. 4b S. 284 beziehungsweise E. 8g S. 289 sowie EMARK 2005 Nr. 1 E. 3.2.1. verwiesen werden, zumal sich die Rechtslage diesbezüglich nicht geändert hat. Auch wenn ein Lingua-Gutachten demnach kein Sachverständigengutachten im gesetzlichen Sinne ist, kann ihm unter Umständen durchaus erhöhter Beweiswert zukommen ( vgl. EMARK 1998 Nr. 34 E. 8b-e). Zwar wurde das Gutachten vorliegend gestützt auf ein elektronisches Hilfsmittel (Telefon) erstellt. Aufgrund der erwähnten sorgfältigen Erarbeitung ist diese Vorgehensweise indes als rechtsgenüglich zu qualifizieren (vgl. EMARK 1998 Nr. 34 E. 8d). Die zentrale Schlussfolgerung der begutachtenden Person, wonach die Beschwerdeführerin die Hauptsozialisation eindeutig nicht im angegebenen Herkunftsgebiet erfahren habe, vermag demnach zu überzeugen. Die Gegenargumente der Beschwerdeführerin im Rahmen des ihr vom Bundesamt gewährten rechtlichen Gehörs sowie auf Beschwerdeebene erscheinen als nicht stichhaltig. Bezüglich des landeskundlich-kulturellen Wissenstands ist hervorzuheben, dass die Beschwerdeführerin anlässlich der Anhörung angab, das Vieh gehütet und Feldarbeit verrichtet zu haben (A 9/14, S. 1 und 6). Namentlich ersteres dürfte ihr entgegen den Beschwerdevorbringen durchaus eine gewisse Kenntnis der fraglichen Gegend vermittelt haben, wenn sie tatsächlich im angegebenen Herkunftsgebiet sozialisiert worden wäre. Gemäss der ausführlichen sprachlichen Analyse wurde die Beschwerdeführerin sodann explizit aufgefordert, den _______-Dialekt zu sprechen, was ihr aber kaum gelungen sein soll. Dies ist ein weiteres und gewichtiges Indiz dafür, dass die geltend gemachte Herkunft nicht den Tatsachen entspricht. Zwar soll sie in der Lage gewesen sein, gewisse _______-beziehungsweise _______-Ausdrücke zu verwenden, was laut Gutachten aber den Gesamteindruck, wonach sie jedenfalls nicht erst vor (damals) zweieinhalb Jahren aus der angeführten abgelegenen Gegend gekommen sei, nicht zu beeinträchtigen vermag. Auch diese Schlussfolgerung überzeugt. Vor diesem Hintergrund ist das eingereichte Beweismittel einer tibetischen Organisation aus der Schweiz nicht geeignet, die geltend gemachte Hauptsozialisation der Beschwerdeführerin hinreichend zu belegen, zumal darin lediglich ausgeführt wird, die Beschwerdeführerin habe diesen Dialekt gesprochen (was bezüglich einzelner Wörter unbestritten ist) und sei in der Lage, ihn zu verstehen. Schliesslich ist hervorzuheben, dass die Beschwerdeführerin das angeblich fluchtauslösende Ereignis in keiner Weise substanziiert darlegte und entsprechend auch in diesem Lichte besehen nicht den Eindruck von tatsächlich Erlebtem respektive Befürchtetem im geltend gemachten Herkunftsgebiet zu erwecken vermochte (A 9/14, S. 9 f.). Bezeichnenderweise gab sie denn auch an, sich erst in Nepal dazu entschlossen zu haben, "ins Ausland" zu gehen (A 9/14, S. 7 unten); die vorinstanzliche Einschätzung, wonach sich die Beschwerdeführerin vor der Einreise in die Schweiz wesentlich länger als angegeben ausserhalb Chinas - beispielsweise in Nepal - aufhielt und in China nichts erlebt hat, was zu einer begründeten Furcht vor ernsthaften Nachteilen führen könnte, erscheint mithin wiederum als gerechtfertigt.</w:t>
      </w:r>
    </w:p>
    <w:p>
      <w:r>
        <w:rPr>
          <w:b/>
        </w:rPr>
        <w:t>E. 4.3</w:t>
      </w:r>
    </w:p>
    <w:p>
      <w:r>
        <w:t>Aufgrund der vorstehenden Erwägungen erübrigt es sich, auf die weiteren Ausführungen in der Beschwerde im Einzelnen einzugehen, weil sie am Ergebnis nichts ändern können. Die beantragten weiteren Abklärungen erübrigen sich, da die Vorinstanz den rechtserheblichen Sachverhalt vollständig erstellt und richtig gewürdigt hat. Die entsprechenden Anträge sind abzuweisen. Unter Berücksichtigung der gesamten Umstände folgt, dass die Beschwerdeführerin hinsichtlich der angeblichen Herkunftsregion bis zum Zeitpunkt der Ausreise keine Gründe nach Art. 3 AsylG nachweisen oder glaubhaft machen konnte. Das Bundesamt hat ihr Asylgesuch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Die Beschwerdeführerin verfügt weder über eine fremdenpolizeiliche Aufenthaltsbewilligung noch einen Anspruch auf Erteilung einer solchen. Die Wegweisung wurde demnach zu Recht angeordnet (Art. 44 Abs. 1 AsylG; EMARK 2001 Nr. 21).</w:t>
      </w:r>
    </w:p>
    <w:p>
      <w:r>
        <w:rPr>
          <w:b/>
        </w:rPr>
        <w:t>E. 5.2</w:t>
      </w:r>
    </w:p>
    <w:p>
      <w:r>
        <w:t>Das BFM hat die Beschwerdeführerin aufgrund des Vorliegens von subjektiven Nachfluchtgründen als Flüchtling anerkannt, ihr indes folgerichtig kein Asyl gewährt (vgl. Art. 54 AsylG). Wegen Unzulässigkeit des Vollzugs der Wegweisung ist sie als Flüchtling in der Schweiz vorläufig aufgenommen worden. In Anbetracht dieser Sachlage ist im jetzigen Zeitpunkt praxisgemäss nicht über das Vorliegen weiterer Vollzugshindernisse zu befinden.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der Beschwerdeführerin aufzuerlegen (Art. 63 Abs. 1 VwVG) und auf insgesamt Fr. 600.-- festzusetzen (Art. 16 Abs. 1 Bst. a VGG i.V.m. Art. 2 und 3 des Reglements vom 11. Dezember 2006 über die Kosten und Entschädigungen vor dem Bundesverwaltungsgericht [VGKE], SR 173.320.2). Sie sind durch den in gleicher Höhe geleisteten Kostenvorschuss getilgt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