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D-503/2019 vom 27. Februar 2019</w:t>
      </w:r>
    </w:p>
    <w:p>
      <w:r>
        <w:t>Bundesverwaltungsgericht, 2019-02-27, DE</w:t>
      </w:r>
    </w:p>
    <w:p>
      <w:r>
        <w:rPr>
          <w:b/>
        </w:rPr>
        <w:t xml:space="preserve">Quelle: </w:t>
      </w:r>
      <w:r>
        <w:t>https://mcp.opencaselaw.ch/entscheid/bvger_D-503_2019</w:t>
      </w:r>
    </w:p>
    <w:p>
      <w:r>
        <w:t>FR: TAF D-503/2019 du 27 février 2019</w:t>
      </w:r>
    </w:p>
    <w:p>
      <w:r>
        <w:t>IT: TAF D-503/2019 del 27 febbraio 2019</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w:t>
      </w:r>
    </w:p>
    <w:p>
      <w:r>
        <w:rPr>
          <w:b/>
        </w:rPr>
        <w:t>E. 3</w:t>
      </w:r>
    </w:p>
    <w:p>
      <w:r>
        <w:t>Die Beschwerde hat von Gesetzes wegen aufschiebende Wirkung und die Vorinstanz hat sie nicht entzogen (Art. 55 Abs. 1 und 2 VwVG). Auf den Antrag auf Erteilung der aufschiebenden Wirkung ist mangels Rechtsschutzinteresses nicht einzutreten.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dass die Vorbringen den Anforderungen an die Flüchtlingseigenschaft gemäss Art. 3 AsylG nicht standhalten würden. Zunächst sei darauf hinzuweisen, dass der sri-lankische Staat grundsätzlich als schutzwillig und schutzfähig gelte, so dass Übergriffe durch Drittpersonen gemeldet werden könnten und von den Behörden geahndet würden. Sie selbst habe in dieser Hinsicht angegeben, dass die Polizei auf Ersuchen eines Nachbarn gekommen sei, als die Mutter sich nach ihrer Ausreise im Haus in C._______ aufgehalten habe, und eines nachts an die Türe geklopft worden sei. Zu den Gründen, warum man ihr gedroht habe beziehungsweise wer sie bedroht habe, habe sie unterschiedliche Vermutungen geäussert. Einerseits habe sie angegeben, dass die Bedrohungen erst begonnen hätten, als die Mutter die Polizei-Clearance erhalten habe, nach Kanada auszureisen. Die Person am Telefon habe ihr mitgeteilt, sie sei vom Criminal Investigation Department (CID). Das sei der einzige Anhaltspunkt, den sie gehabt habe. Später habe sie angegeben, dass es womöglich etwas mit einer Geldübergabe durch die Familie an eine Person der LTTE im Jahr 2013 zu tun gehabt haben könnte. Sie habe aber selbst angefügt, dass dies nur eine Vermutung sei. Damit habe sie keine klaren Anhaltspunkte zu Protokoll geben können für die Beantwortung der Fragen, weswegen oder durch wen sie genau bedroht worden sei. Sie habe aber klar ausgesagt, dass die Person von ihr Geld verlangt habe, womit offensichtlich ein monetäres Interesse im Vordergrund gestanden habe. Trotz all ihrer Vermutungen wäre es ihr dennoch möglich und zuzumuten gewesen, die Drohanrufe der Polizei zu melden oder spätestens, als die Person bei ihr geklopft habe, die Polizei anzurufen und um Hilfe zu bitten. Allenfalls hätte sie auch Hilfe von Nachbarn oder weiteren Familienmitgliedern suchen und einfordern können. Hierzu sei zudem noch zu erwähnen, dass sie ausgeführt habe, ihr Onkel (...) habe von Dezember 2016 bis Mitte des Jahres 2017 mit ihr in ihrem Haus gelebt. Somit habe sie durchaus auch familiäre Unterstützung gehabt, um diese Drohungen und Annäherungen mit Hilfe eines männlichen Angehörigen bei den Behörden vorzubringen. Nachdem der Onkel weggegangen sei, habe sie nach nochmaligen Drohanrufen schliesslich ab Mitte des Jahres 2017 bei Bekannten in D._______ gelebt, wo sie bis zu ihrer Ausreise im Oktober 2018 geblieben sei. Während des Aufenthalts in D._______ habe sie ihr Mobiltelefon definitiv ausgeschaltet gehabt und sei in der Folge auch nicht weiter belästigt worden. Damit werde deutlich, dass sie noch über ein Jahr lang in Sri Lanka gelebt habe, ohne dass es zu weiteren Ereignissen gekommen sei. In Anbetracht dieser langen zeitlichen Dauer sei kein genügend enger zeitlicher und sachlicher Zusammenhang zwischen den Drohanrufen und der Flucht erkennbar. Auf den grossen zeitlichen Abstand angesprochen, habe sie geantwortet, dass sie sich einsam gefühlt habe, da sie keine Geschwister mehr in Sri Lanka gehabt habe und nach dem Tod des Vaters auch die Mutter ausgereist sei, worauf sie Schwierigkeiten bekommen habe. Anhand dieser Aussagen werde deutlich, dass unter anderem ihre Einsamkeit sie zur definitiven Ausreise bewogen habe. So habe sie schliesslich erklärt, dass ihre Schwester in der Schweiz lebe. Es bestehe sodann kein begründeter Anlass zur Annahme, dass sie bei einer Rückkehr nach Sri Lanka mit beachtlicher Wahrscheinlichkeit und in absehbarer Zukunft asylrelevanten Verfolgungsmassnahmen ausgesetzt wäre. Sie habe nicht geltend gemacht, vor ihrer Ausreise asylrelevanten Verfolgungsmassnahmen ausgesetzt gewesen zu sein. Vielmehr sei sie bis im Oktober 2018 in Sri Lanka wohnhaft gewesen, habe also nach Kriegsende noch neun Jahre in ihrem Heimatstaat gelebt. Allfällige, im Zeitpunkt der Ausreise bestehende Risikofaktoren hätten folglich kein Verfolgungsinteresse seitens der sri-lankischen Behörden auszulösen vermocht. Es sei aufgrund der Aktenlage nicht ersichtlich, weshalb sie bei einer Rückkehr nach Sri Lanka nunmehr in den Fokus der Behörden geraden und in asylrelevanter Weise verfolgt werden sollte.</w:t>
      </w:r>
    </w:p>
    <w:p>
      <w:r>
        <w:rPr>
          <w:b/>
        </w:rPr>
        <w:t>E. 5.2</w:t>
      </w:r>
    </w:p>
    <w:p>
      <w:r>
        <w:t>Die Beschwerdeführerin bringt dagegen vor, dass zunächst der festgestellte Sachverhalt insofern zu ergänzen sei, als dass sie zwischen 2000 und 2006 mit einem Mann namens F._______ (Spitzname) verlobt gewesen sei. F._______ sei ein Mitglied der LTTE gewesen. Ihre Familie weise zudem eine LTTE-Vergangenheit auf. Ihr Vater sei in der Frühphase des Konflikts bis anno 1996 als Koch für die LTTE tätig gewesen, bevor er der Bewegung entsagt habe. Danach habe die teilweise exilierte Familie die LTTE regelmässig mit finanziellen Zuwendungen unterstützt, wie auch im Jahr 2013, als die Familie eine stattliche Summe zu Gunsten verletzter beziehungsweise verkrüppelter LTTE-Veteranen gespendet habe. Sie selbst sei zwischen 2016 und 2017 in wiederkehrenden Episoden von unbekannten Personen telefonisch und durch Hausbesuche bedroht respektive verfolgt worden. Die Verfolger hätten von ihr Geld verlangt und ihr mit Repressalien gedroht, falls sie sich an die Polizei oder eine andere Behörde wenden würde. Sie hätten sich ihr gegenüber dabei telefonisch als mutmassliche Angehörige des CID offenbart und tamilisch mit starkem Akzent gesprochen. Sie habe isoliert und alleine in ihrem Elternhaus in Sri Lanka gelebt, als die Bedrohungen begonnen und über einen längeren Zeitraum nicht aufgehört hätten. In ihrer Situation, insbesondere als behinderte, alleinstehende Frau sei die Furcht vor zukünftigen Verfolgungshandlungen nachvollziehbar. Über willkürliche Misshandlungen, Inhaftierungen und Tötungen von Tamilen, die der Mitgliedschaft oder Zusammenarbeit mit den LTTE verdächtigt würden, existiere eine grosse Zahl von Berichten. Zudem seien alleinstehende Frauen insbesondere im Norden und Osten Sri Lankas, durch das damit verbundene soziale Stigma sowie die eingeschränkten Verdienstmöglichkeiten besonders verletzlich und der Gefahr von Diskriminierung und sexueller Ausbeutung ausgesetzt.</w:t>
      </w:r>
    </w:p>
    <w:p>
      <w:r>
        <w:rPr>
          <w:b/>
        </w:rPr>
        <w:t>E. 6.1</w:t>
      </w:r>
    </w:p>
    <w:p>
      <w:r>
        <w:t>Das Bundesverwaltungsgericht gelangt nach Durchsicht der Akten zum Schluss, dass die Vorinstanz das Asylgesuch der Beschwerdeführerin zu Recht abgelehnt hat. Sie hat den Sachverhalt richtig und vollständig abgeklärt und in rechtsgenüglicher Weise die Gründe angeführt hat, welche auf die fehlende Asylrelevanz der Vorbringen schliessen lassen. Die Rechtsmitteleingabe stellt dem nichts Stichhaltiges entgegen sondern erschöpft sich im Wesentlichen vielmehr in Wiederholungen des aktenkundigen Sachverhalts und Erklärungsversuchen, womit sie nicht aufzeigt, inwiefern die vorinstanzliche Beweiswürdigung Bundesrecht verletzen oder zu einer rechtsfehlerhaften Sachverhaltsfeststellung führen soll. Solches ist auch nicht ersichtlich. Die Zuerkennung der Flüchtlingseigenschaft wegen Vorfluchtgründe setzt voraus, dass zwischen Verfolgung und Flucht in zeitlicher und sachlicher Hinsicht ein genügend enger Kausalzusammenhang besteht (vgl. ausführlich die Urteile des BVGer D-3989/2016 vom 12. Februar 2018 E. 5.2.1, D-4543/2013 vom 22. November 2017 E. 5.2, m.w.H.). Die Vorinstanz ist mit überzeugender Begründung zur Erkenntnis gelangt, dass dieser Kausalzusammenhang zwischen den von der Beschwerdeführerin geschilderten Vorkommnissen bis Mitte 2017 und der Ausreise im Oktober 2018 gefehlt hat. Um Wiederholungen zu vermeiden, kann diesbezüglich auf die vorinstanzlichen Ausführungen verwiesen werden (vgl. E. 5.1). Im Weiteren ist festzustellen, dass das von der Beschwerdeführerin erstmals auf Rechtsmittelebene geltend gemachte Vorbringen, sie sei mit einem Mann verlobt gewesen, der Mitglied bei den LTTE gewesen sei, als nachgeschoben und damit unglaubhaft zu beurteilen ist. Da es sich dabei bezüglich ihrer Asylgründe um einen bedeutsamen Umstand gehandelt haben dürfte, hätte von der Beschwerdeführerin erwartet werden können, dass sie dies bereits anlässlich der Befragungen im vorinstanzlichen Verfahren erwähnt, insbesondere da ihr während der Anhörung die Frage gestellt wurde, ob sie in irgendeiner Verbindung zu den LTTE gestanden habe ([...]). Sowohl an der BzP als auch der Anhörung hat die Beschwerdeführerin hingegen bestätigt, dass sie alles für das Asylgesuch Wesentliche habe darlegen können und dass es keine weiteren Asylgründe gebe ([...]). Im Übrigen ist der Vorinstanz beizupflichten, dass aufgrund des Profils der Beschwerdeführerin auch im Falle einer Rückkehr nach Sri Lanka keine begründete Furcht vor künftigen Verfolgungsmassnahmen bestehe (vgl. dazu Urteil des BVGer E-1866/2015 vom 15. Juli 2016 [als Referenzurteil publiziert], E. 8 und 9). Gemäss dem eben zitierten Referenzurteil des BVGer sind insbesondere Rückkehrende gefährdet, die in die "Stop-List" eingetragen sind, Verbindungen zu den LTTE aufweisen oder sich exilpolitisch betätigt haben. Schwach risikobegründende Faktoren sind Narben, das Fehlen ordentlicher Identitätsdokumente bei der Einreise in Sri Lanka und eine zwangsweise beziehungsweise durch die Internationale Organisation für Migration (IOM) begleitete Rückführung nach Sri Lanka (a.a.O., E. 8.5.5). Die Beschwerdeführerin war nie Mitglied der LTTE ([...]). Nachdem sie 2000 vom Militär wegen ihrer Tätigkeit in einem Frauenverein befragt worden sei, habe sie keine Probleme mehr mit dem Militär beziehungsweise den Behörden gehabt ([...]). Insofern in der Rechtsmitteleingabe geltend gemacht wird, sie weise Verbindungen zu den LTTE auf beziehungsweise stamme aus einer Familie mit LTTE-Vergangenheit, ist Folgendes festzuhalten: Dass der Vater in der Frühphase des Konflikts bis 1996 als Koch für die LTTE tätig gewesen sei, stellt einen lediglich schwachen Bezugspunkt dar, zumal die angebliche LTTE-Mitgliedschaft des Vaters über zwanzig Jahre zurückliegt. Dass die Beschwerdeführerin von 2000 bis 2006 mit einem LTTE-Mitglied verlobt gewesen sei, wurde für nachgeschoben und somit unglaubhaft befunden (vgl. E. 6.1), zumal auch dieser Umstand über zehn Jahre zurückliegend würde. Soweit auf Rechtsmittelebene vorgetragen wird, die Geschwister würden die LTTE regelmässig mit finanziellen Zuwendungen unterstützen, ist festzustellen, dass die Beschwerdeführerin diesbezüglich in der Anhörung lediglich eine Zahlung im Jahr 2013 nannte ([...]), wobei aus ihren Schilderungen nicht klar hervor geht, wer - die Beschwerdeführerin ([...]), der Vater ([...]) oder die Geschwister ([...]), die entsprechende Zahlung vorgenommen haben soll. Sowieso reichen auch diese geltend gemachten Verbindungen zu den LTTE nicht aus, um von einer erhöhten Verfolgungsgefahr auszugehen, zumal auch dies in zeitlicher Hinsicht (die besagte Zahlung erfolgte angeblich im Jahre 2013) nicht mit den Behelligungen der Beschwerdeführerin ab dem Jahr 2016 in Zusammenhang gebracht werden können. Schliesslich stand die Beschwerdeführerin in Sri Lanka nie vor Gericht oder wurde inhaftiert. Auch der Umstand, dass die Beschwerdeführerin, die geltend machte, der Schlepper habe ihr den legal erhaltenen Reisepass abgenommen ([...]), aus der Schweiz nach Sri Lanka zurückkehren wird, genügt nicht, objektiv eine Furcht vor Verfolgung zu begründen. Exilpolitische Tätigkeiten sind weder aktenkundig noch wurden solche auf Beschwerdeebene geltend gemacht. Unter Würdigung aller Umstände ist somit anzunehmen, dass die Beschwerdeführerin von den sri-lankischen Behörden nicht zu jener kleinen Gruppe gezählt wird, die bestrebt ist, den tamilischen Separatismus wiederaufleben zu lassen, und so eine Gefahr für den sri-lankischen Einheitsstaat darstellen. Es ist nicht davon auszugehen, dass ihr persönlich im Fall einer Rückkehr nach Sri Lanka ernsthafte Nachteile im Sinne von Art. 3 AsylG drohen würden.</w:t>
      </w:r>
    </w:p>
    <w:p>
      <w:r>
        <w:rPr>
          <w:b/>
        </w:rPr>
        <w:t>E. 6.2</w:t>
      </w:r>
    </w:p>
    <w:p>
      <w:r>
        <w:t>Zusammenfassend ergibt sich, dass keine flüchtlingsrechtlich relevanten Verfolgungsgründe ersichtlich sind, weshalb die Vorinstanz zu Recht die Flüchtlingseigenschaft verneint und das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zurückkehren müssen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hätten, die Behörden hätten an ihrer Festnahme und Befragung ein Interesse, verschiedene Aspekte beziehungsweise persönliche Risikofaktoren in Betracht gezogen werden (vgl. EGMR, T.N. gegen Dänemark, a.a.O, § 94). Nachdem die Beschwerdeführerin nicht darzutun vermochte,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in Sri Lanka drohen. Auch die allgemeine Menschenrechtssituation in Sri Lanka lässt den Wegweisungsvollzug nach der Rechtsprechung nicht als unzulässig erscheinen (vgl. BVGE 2011/24 E. 10.4).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sowie D-3619/2016 vom 16. Oktober 2017 insb. E. 9.5.9.).</w:t>
      </w:r>
    </w:p>
    <w:p>
      <w:r>
        <w:rPr>
          <w:b/>
        </w:rPr>
        <w:t>E. 8.3.3</w:t>
      </w:r>
    </w:p>
    <w:p>
      <w:r>
        <w:t>Die Beschwerdeführerin stammt aus C._______ (Distrikt Jaffna, Nordprovinz), wo sie bis knapp ein Jahr vor ihrer Ausreise gelebt hat. Sie verfügt über eine mehrjährige Schulbildung ([...]) und hat einen (...)kurs sowie eine Ausbildung als (...) absolviert ([...]). Im Jahr 2017 hat sie während mehrerer Monate als (...) gearbeitet ([...]). Die Beschwerdeführerin besitzt in C._______ ein Haus im Wert von 8.5 Millionen LKR (Sri Lanka Rupien), welches auf ihren Namen eingetragen ist ([...]). In diesem Haus lebt auch ein Diener der Familie ([...]), der für die Beschwerdeführerin jeweils Lebensmittel besorgte ([...]). Zudem schickte ein Bruder aus dem Ausland der Beschwerdeführerin monatlich Geld ([...]). In Sri Lanka verfügt die Beschwerdeführerin noch über einen Onkel (...), der sie in der Vergangenheit auch unterstützt hat, indem er eine Weile lang bei ihr gelebt hat, und der für sie gelegentlich auch Lebensmittel besorgt hat ([...]). Ebenso leben noch drei Geschwister des Vaters in Sri Lanka, zu denen die Beschwerdeführerin, als sie sich noch dort aufhielt, Kontakt hatte ([...]). Angesichts des Umstandes, dass sich die Beschwerdeführerin noch nicht lange im Ausland befindet, ist es ihr auch zuzumuten, den Kontakt zum Onkel respektive zu den übrigen Verwandten bei einer Rückkehr wieder aufzunehmen. Betreffend die physischen Leiden der Beschwerdeführerin aufgrund ihrer Erkrankung an (...) im Kindesalter ist zu bemerken, dass nur dann auf Unzumutbarkeit des Wegweisungsvollzugs geschlossen werden kann, wenn eine notwendige medizinische Behandlung nicht zur Verfügung steht und die Rückkehr zu einer raschen und lebensgefährdenden Beeinträchtigung des Gesundheitszustands der betroffenen Person führen würde (vgl. BVGE 2009/2 E. 9.3.2). Solches ist bei der Beschwerdeführerin nicht ersichtlich, zumal sie wegen ihren Beschwerden in Sri Lanka nicht in Behandlung war und lediglich Schmerztabletten genommen hat ([...]). Im Hinblick auf die Beschwerden beziehungsweise die (...) ist schliesslich auch anzumerken, dass die Beschwerdeführerin ausgeführt hat, sie habe den Haushalt selber machen und für sich alleine sorgen können ([...]). Begünstigende Faktoren sind gesamthaft klar gegeben. 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ist mit vorliegendem Direktentscheid gegenstandslos geworden. Die gestellten Rechtsbegehren erweisen sich als aussichtslos, weshalb das Gesuch um unentgeltliche Rechtspflege, unbesehen einer allfälligen Mittellosigkeit, in Anwendung von Art. 65 Abs. 1 VwVG abzuweisen ist. Dementsprechend ist das Gesuch um unentgeltliche Rechtsverbeiständung (Art.110a AsylG) mangels Erfüllens der Voraussetzungen von Art. 65 Abs. 1 VwVG ebenfalls abzuweisen.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