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D-503/2014 vom 12. März 2015</w:t>
      </w:r>
    </w:p>
    <w:p>
      <w:r>
        <w:t>Bundesverwaltungsgericht, 2015-03-12, DE</w:t>
      </w:r>
    </w:p>
    <w:p>
      <w:r>
        <w:rPr>
          <w:b/>
        </w:rPr>
        <w:t xml:space="preserve">Quelle: </w:t>
      </w:r>
      <w:r>
        <w:t>https://mcp.opencaselaw.ch/entscheid/bvger_D-503_2014</w:t>
      </w:r>
    </w:p>
    <w:p>
      <w:r>
        <w:t>FR: TAF D-503/2014 du 12 mars 2015</w:t>
      </w:r>
    </w:p>
    <w:p>
      <w:r>
        <w:t>IT: TAF D-503/2014 del 12 marzo 2015</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i.V.m. Art. 6a Abs. 2 Bst. a und Art. 40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Urteil des BVGer D-3622/2011 vom 8. Oktober 2014 E. 5 [zur Publikation vorgesehen]).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Das BFM führte zur Begründung aus, die Aussagen der Beschwerdeführenden seien ungenügend substanziiert beziehungsweise pauschal formuliert, widersprüchlich und würden teilweise gegen die Logik des menschlichen Handelns sprechen. So hätten sie unterschiedliche Angaben zum Zeitpunkt ihrer Ausreise gemacht und seien dem Vorhalt dieses Widerspruchs mit Ausflüchten begegnet. Der Beschwerdeführer habe nicht ausführen können, wie viele Male sie durch die Schuldner (recte: Gläubiger) aufgesucht worden seien. Die Aussagen der Beschwerdeführerin bezüglich der geschlechtsspezifischen Verfolgung würden den Eindruck erwecken, sie hätte den relevanten Vorfall nicht erlebt. Sie sei nicht in der Lage gewesen, detailliert darüber zu berichten. Ausserdem hätten die Beschwerdeführenden auch auf mehrfaches Nachfragen hin nicht nachvollziehbar erklären können, weshalb sie wegen der finanziellen Probleme nicht sogleich ihre Freunde oder Familie um Hilfe gebeten hätten (anstelle Geld von einer Drittperson auszuleihen) und weshalb sie zusätzlich 2000 Euro von einem Freund für die Flucht ausgeliehen hätten, ohne damit erst die Schulden zu begleichen, die sie zur Flucht bewogen hätten. Überdies sei Serbien im Sinne von Art. 6a Abs. 2 Bst. a AsylG mit Beschluss des Bundesrats vom 6. März 2009 als verfolgungssicherer Staat ("Safe Country") bezeichnet worden, womit die Regelvermutung greife, dass Schutz vor nichtstaatlicher Verfolgung gewährleistet werde. Hinweise, welche diese Regelvermutung umzustossen vermöchten, seien nicht ersichtlich. Die Beschwerdeführenden hätten es unterlassen, sich an die Polizei zu wenden. Die serbischen Behörden seien grundsätzlich Schutzfähig und willig. Deshalb könne weiterhin vom Vorhandensein eines adäquaten Schutzes durch den Heimatstaat ausgegangen werden. Die Vorbringen hielten weder den Anforderungen an die Flüchtlingseigenschaft gemäss Art. 3 AsylG noch denjenigen an die Glaubhaftigkeit gemäss Art. 7 AsylG stand, weshalb die Asylgesuche abzulehnen seien. Zudem sei der Wegweisungsvollzug zulässig, zumutbar und möglich. Dies gelte im Speziellen auch für die Beschwerdeführerin. Für die Behandlung ihrer gesundheitlichen Beschwerden sei sie nicht auf die Schweiz angewiesen, da die medizinische Versorgung in Serbien für jedermann, unabhängig von seiner Ethnie, Abstammung, Religion oder Angehörigkeit zu einer Minderheit möglich sei. Dies belege sie selbst durch die vorgelegten Dokumente, nach welchen sie in Serbien sowohl aufgrund ihrer psychischen als auch somatischen Beschwerden in Behandlung gewesen sei. Im Weiteren verfügten die Beschwerdeführenden über ein verwandtschaftliches Beziehungsnetz und über nahe Verwandte in verschiedenen nordeuropäischen Ländern, die sie gegebenenfalls finanziell unterstützen könnten.</w:t>
      </w:r>
    </w:p>
    <w:p>
      <w:r>
        <w:rPr>
          <w:b/>
        </w:rPr>
        <w:t>E. 4.2</w:t>
      </w:r>
    </w:p>
    <w:p>
      <w:r>
        <w:t>Die Beschwerde wurde im Asylpunkt damit begründet, dass die Beschwerdeführenden sich davor fürchten würden, von ihrem Gläubiger umgebracht zu werden, und sie nicht zur Polizei gehen könnten, da diese ihnen als Roma nicht helfen würde. Bezüglich des Wegweisungsvollzugs machen sie geltend, die Beschwerdeführerin sei krank und in Serbien werde sie die nötige Behandlung nicht erhalten. Einmal sei sie operiert worden; für Roma sei dies aber eine Ausnahme, so dass sie keine weitere Behandlung erhalten werde. Die Kinder würden in Serbien nicht zur Schule gehen können, da sie Roma seien. Der Beschwerdeführer könne, da er aus dem Kosovo stamme, nicht nach Serbien zurückkehren.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Die rudimentären und knappen Ausführungen in der Beschwerde beschränken sich im Wesentlichen auf eine Wiederholung des bereits aktenkundigen Sachverhalts. Die Beschwerdeführenden unterlassen es im Asylpunkt, sich mit den Erwägungen in der vorinstanzlichen Verfügung konkret auseinanderzusetzen, weshalb diese vollumfänglich zu bestätigen sind. Im Übrigen ist darauf hinzuweisen, dass nach der geltenden Praxis des Bundesverwaltungsgerichts Roma in Serbien nicht einer Kollektivverfolgung unterliegen und ihnen die Inanspruchnahme des dortigen Rechtssystems zuzumuten ist (vgl. Urteile des BVGer E-3992/2014 vom 28. Juli 2014 S. 9; E-6682/2013 vom 16. Mai 2014 E. 4.4; E-5428/2013 vom 9. Oktober 2013 E. 4.2). Schliesslich ist festzuhalten, dass rein wirtschaftliche Gründe die Voraussetzungen für die Zuerkennung der Flüchtlingseigenschaft nicht erfüllen. Nach dem Gesagten gelingt es den Beschwerdeführenden nicht, die Flüchtlingseigenschaft nachzuweisen oder zumindest glaubhaft zu machen, weshalb die Vorinstanz die Asylgesuche zu Recht abgelehnt hat.</w:t>
      </w:r>
    </w:p>
    <w:p>
      <w:r>
        <w:rPr>
          <w:b/>
        </w:rPr>
        <w:t>E. 6.1</w:t>
      </w:r>
    </w:p>
    <w:p>
      <w:r>
        <w:t>Lehnt das Bundesamt (neu: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2009/50 E. 9 m.w.H.).</w:t>
      </w:r>
    </w:p>
    <w:p>
      <w:r>
        <w:rPr>
          <w:b/>
        </w:rPr>
        <w:t>E. 7.1</w:t>
      </w:r>
    </w:p>
    <w:p>
      <w:r>
        <w:t>Ist der Vollzug der Wegweisung nicht zulässig, nicht zumutbar oder nicht möglich, so regelt das Bundesamt (neu: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Angesichts der heutigen Lage in Serbien kann nicht von einer Situation allgemeiner Gewalt oder kriegerischen respektive bürgerkriegsähnlichen Verhältnissen gesprochen werden. Das Bundesverwaltungsgericht verkennt nicht, dass Roma in Serbien aufgrund ihrer Ethnie sowohl in wirtschaftlicher als auch in sozialer Hinsicht Benachteiligungen (Schikanen sowie Diskriminierungen) ausgesetzt sein können. Übergriffe von Privatpersonen auf Roma und behördliche Schikanen sowie Diskriminierung können nicht völlig ausgeschlossen werden, doch erreichen die Benachteiligungen nicht ein Ausmass, welches den Wegweisungsvollzug generell als unzumutbar erscheinen lässt (vgl. Urteile des BVGer E-5428/2013 vom 9. Oktober 2013 E. 6.3.2; D-3637/2013 vom 18. Juli 2013 E. 6.4.2; E-2688/2013 vom 28. Mai 2013 S. 7). Die Rückkehr der Beschwerdeführerenden nach Serbien ist somit grundsätzlich als zumutbar zu betrachten. Vor diesem Hintergrund gilt es die Zumutbarkeit des Wegweisungsvollzugs der Familie aufgrund ihrer persönlichen Situation zu beurteilen.</w:t>
      </w:r>
    </w:p>
    <w:p>
      <w:r>
        <w:rPr>
          <w:b/>
        </w:rPr>
        <w:t>E. 7.3.2</w:t>
      </w:r>
    </w:p>
    <w:p>
      <w:r>
        <w:t>Bezüglich der gesundheitlichen Situation der Beschwerdeführerin ist Folgendes festzuhalten: Nach der Praxis des Bundesverwaltungsgerichts ist der Wegweisungsvollzug aus medizinischen Gründen unzumutbar, wenn eine notwendige Behandlung im Heimatland nicht zur Verfügung steht und die Rückkehr zu einer raschen und lebensgefährlichen Beeinträchtigung des Gesundheitszustandes, zur Invalidität oder zum Tod der betroffenen Person führt. Unzumutbarkeit liegt jedoch nicht schon vor, wenn im Heimatstaat eine nicht dem schweizerischen Standard entsprechende medizinische Behandlung möglich ist (BVGE 2009/2 E. 9.3.2; 2011/50 E. 8.3, jeweils m.w.H.). Nach Angaben der Beschwerdeführerin und der eingereichten medizinischen Dokumente wurde sie nachweislich in Serbien wegen ihrer Krankheit operiert und medizinisch behandelt (BFM-Akte A9/13 Ziff. 7.01 f.; A14/13 F/A11 ff.). Ebenfalls eigenen Angaben zufolge ist sie mit ihren Töchtern bei (...) in Belgrad registriert (A9/13 Ziff. 2.01) und verfügt nachgewiesenermassen über eine Krankenversicherungskarte. Demnach sind die vorinstanzlichen Erwägungen, die Beschwerdeführerin könne in Serbien die notwenige medizinische Behandlung erneut in Anspruch nehmen, vollumfänglich zu bestätigen. Schliesslich besteht auch die Möglichkeit, medizinische Rückkehrhilfe zu beantragen.</w:t>
      </w:r>
    </w:p>
    <w:p>
      <w:r>
        <w:rPr>
          <w:b/>
        </w:rPr>
        <w:t>E. 7.3.3</w:t>
      </w:r>
    </w:p>
    <w:p>
      <w:r>
        <w:t>Sodann steht auch das Kindeswohl (vgl. dazu BVGE 2009/28 E. 9.3.2) einem Vollzug der Wegweisung nicht entgegen, da sich die Familie erst seit kurzer Zeit in der Schweiz befindet und somit klarerweise nicht von einer hiesigen Verwurzelung der zwei minderjährigen Kinder auszugehen ist.</w:t>
      </w:r>
    </w:p>
    <w:p>
      <w:r>
        <w:rPr>
          <w:b/>
        </w:rPr>
        <w:t>E. 7.3.4</w:t>
      </w:r>
    </w:p>
    <w:p>
      <w:r>
        <w:t>Eine Gesamtwürdigung der massgeblichen Kriterien ergibt, dass ein Wegweisungsvollzug der Beschwerdeführenden nach Serbien - in Übereinstimmung mit der Vorinstanz - zumutbar ist, zumal blosse soziale und wirtschaftliche Schwierigkeiten, von denen die ansässige Bevölkerung im Allgemeinen betroffen ist, nicht genügen, um eine Gefährdung im Sinne von Art. 83 Abs. 4 AuG darzustellen (vgl. BVGE 2008/34 E. 11.2.2).</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und Abs. 5 VwVG) und auf insgesamt Fr. 600.- festzusetzen (Art. 1-3 des Reglements vom 21. Februar 2008 über die Kosten und Entschädigungen vor dem Bundesverwaltungsgericht [VGKE, SR 173.320.2]). Der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