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D-5036/2009 vom 11. Oktober 2010</w:t>
      </w:r>
    </w:p>
    <w:p>
      <w:r>
        <w:t>Bundesverwaltungsgericht, 2010-10-11, DE</w:t>
      </w:r>
    </w:p>
    <w:p>
      <w:r>
        <w:rPr>
          <w:b/>
        </w:rPr>
        <w:t xml:space="preserve">Quelle: </w:t>
      </w:r>
      <w:r>
        <w:t>https://mcp.opencaselaw.ch/entscheid/bvger_D-5036_2009</w:t>
      </w:r>
    </w:p>
    <w:p>
      <w:r>
        <w:t>FR: TAF D-5036/2009 du 11 octobre 2010</w:t>
      </w:r>
    </w:p>
    <w:p>
      <w:r>
        <w:t>IT: TAF D-5036/2009 del 11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1.4</w:t>
      </w:r>
    </w:p>
    <w:p>
      <w:r>
        <w:t>Gestützt auf Art. 37 VGG i.V.m. Art. 33a Abs. 2 Satz 2 VwVG ergeht das Urteil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machte in der Beschwerde in formeller Hinsicht einerseits geltend, sie habe zum Zeitpunkt der Anhörung vom 4. Dezember 2007 unter einer schweren Grippe gelitten. Obwohl sie das mitgeteilt habe, habe die Anhörung von zehn Uhr morgens bis sieben Uhr abends gedauert. Aufgrund ihrer angeschlagenen Gesund-heit sei sie nicht in der Lage gewesen, sich auf die ihr gestellten Fragen zu konzentrieren, weshalb den Aussagen anlässlich der Anhörung nur ein eingeschränkter Beweiswert zukomme, umso mehr als die Vorinstanz aufgrund sich ergebender Verständigungsprobleme suggestive Fragen gestellt habe. In diesem Zusammenhang sei auch auf die Mängel in der Protokollführung hinzuweisen. So seien zum einen weder der Zeitpunkt des Beginns noch der Zeitpunkt des Endes der Anhörung vermerkt worden, zum anderen habe der bei der Anhörung anwesende Hilfswerkvertreter seine Anwesenheit nicht schriftlich bestätigt. Schliesslich wurde in der Rechtsmittelschrift gerügt, dass dem Akteneinsichtsgesuch vom 10. Juli 2009 des Rechtsvertreters der Beschwerdeführerin bis anhin noch nicht voll entsprochen worden sei.</w:t>
      </w:r>
    </w:p>
    <w:p>
      <w:r>
        <w:rPr>
          <w:b/>
        </w:rPr>
        <w:t>E. 4.2.1</w:t>
      </w:r>
    </w:p>
    <w:p>
      <w:r>
        <w:t>Diese verfahrensrechtlichen Rügen sind vorab zu prüfen, da sie allenfalls geeignet wären,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4.2.2</w:t>
      </w:r>
    </w:p>
    <w:p>
      <w:r>
        <w:t>Aus dem Anspruch auf rechtliches Gehör (Art. 29 Abs. 2 der Bundesverfassung der Schweizerischen Eidgenossenschaft vom 18. April 1999 [BV, SR 101]; Art. 29 ff. VwVG i.V.m. Art. 6 und Art. 29 AsylG) ergibt sich, dass Asylsuchende zu ihren Asylgründen anzuhören sind und ihnen das Recht zur Äusserung sowie die Möglichkeit, Einfluss auf die Ermittlung des rechtserheblichen Sachverhalts zu gewähren ist (vgl. Art. 30 Abs. 1 VwVG).</w:t>
      </w:r>
    </w:p>
    <w:p>
      <w:r>
        <w:rPr>
          <w:b/>
        </w:rPr>
        <w:t>E. 4.2.3</w:t>
      </w:r>
    </w:p>
    <w:p>
      <w:r>
        <w:t>Die Behauptung der Beschwerdeführerin, sie habe zum Zeitpunkt der Anhörung vom 4. Dezember 2007 unter einer schweren Grippe gelitten, weshalb sie nicht in der Lage gewesen sei, sich auf die ihr gestellten Fragen zu konzentrieren, findet in den Akten keine Stütze. Zwar hat die Beschwerdeführerin anlässlich der Anhörung einmal geltend gemacht, sie fühle sich nicht so gut. Mit keinem Wort hat sie damals jedoch vorgebracht, sie leide unter einer schweren Grippe, weshalb diese Behauptung lediglich als Schutzbehauptung der Beschwerdeführerin zu werten ist, um die ihr von der Vorinstanz in der angefochtenen Verfügung vorgehaltenen widersprüchlichen Aussagen zu rechtfertigen. An dieser Einschätzung ändert auch das von ihr verfasste Schreiben vom 28. Juli 2009 nichts, worin sie ausführt, sie sei anlässlich der Anhörung vom 4. Dezember 2007 aufgrund einer schweren Grippe mental und physisch reduziert gewesen, zumal anzunehmen ist, dass sie dies schon viel früher bei der Vorinstanz geltend gemacht hätte, hätte sie tatsächlich zum Zeitpunkt der Anhörung an einer schweren Grippe gelitten. Somit ist davon auszugehen, dass der gesundheitliche Zustand der Beschwerdeführerin am 4. Dezember 2007 der Durchführung der Anhörung nicht entgegenstand, weshalb den damals gemachten Aussagen voller Beweiswert zukommt. Zum Vorbringen in der Beschwerdeschrift, wonach die Vorinstanz anlässlich der Anhörung vom 4. Dezember 2007 suggestive Fragen gestellt habe, ist nach Durchsicht des Protokolls festzustellen, dass diese Behauptung in den Akten ebenfalls keine Stütze findet, somit unbegründet ist, weshalb nicht weiter darauf einzugehen ist.</w:t>
      </w:r>
    </w:p>
    <w:p>
      <w:r>
        <w:rPr>
          <w:b/>
        </w:rPr>
        <w:t>E. 4.3</w:t>
      </w:r>
    </w:p>
    <w:p>
      <w:r>
        <w:t>Bezüglich der Rüge, wonach im Anhörungsprotokoll vom 4. Dezember 2007 weder der Zeitpunkt des Beginns noch der Zeitpunkt des Endes der Anhörung vermerkt worden sei beziehungsweise der bei der Anhörung anwesende Hilfswerkvertreter seine Anwesenheit nicht schriftlich bestätigt habe, stellt das Bundesverwaltungsgericht nach Durchsicht des Protokolls vom 4. Dezember 2007 fest, dass darin in der Tat pflichtwidrig weder der Zeitpunkt des Beginns noch der Zeitpunkt des Endes der Anhörung vermerkt worden ist und die Hilfswerkvertretung ihre Mitwirkung an der Anhörung nicht unterschriftlich bestätigt hat, obwohl sie gemäss Art. 30 Abs. 4 AsylG dazu verpflichtet gewesen wäre. Aufgrund der gesamten Umstände ist jedoch festzuhalten, dass diese von der Beschwerdeführerin zu Recht gerügten Verfahrensmängel im vorliegenden Fall nicht von wesentlicher Bedeutung sind, zumal der Beschwerdeführerin dadurch für das Verfahren keine Nachteile erwachsen sind. Es rechtfertigt sich daher nicht, die angefochtene Verfügung wegen diesen geringfügigen Män-geln im Protokoll aufzuheben (vgl. dazu EMARK 1996 Nr. 13 E. 4c f.).</w:t>
      </w:r>
    </w:p>
    <w:p>
      <w:r>
        <w:rPr>
          <w:b/>
        </w:rPr>
        <w:t>E. 4.4</w:t>
      </w:r>
    </w:p>
    <w:p>
      <w:r>
        <w:t>Hinsichtlich der Rüge, wonach dem Akteneinsichtsgesuch des Rechtsvertreters der Beschwerdeführerin vom 10. Juli 2009 bis anhin noch nicht voll entsprochen worden sei, ist nach Durchsicht der Akten festzustellen, dass der Rechtsvertreter der Beschwerdeführerin mit Faxeingabe vom 10. Juli 2009 beim BFM um vollumfängliche Einsicht in die Akten des vorliegenden Asylverfahrens ersuchte und die Vorinstanz ihm am 6. August 2009 das Protokoll der Anhörung vom 4. Dezember 2007 per Fax zustellte. Aus den Verfahrensunterlagen geht nicht hervor, dass die Vorinstanz dem Rechtsvertreter der Beschwer-deführerin später Einsicht in weitere Verfahrensakten gewährt hätte, weshalb das Bundesverwaltungsgericht davon ausgeht, dass es die Vorinstanz versäumte, dem Rechtsvertreter der Beschwerdeführerin gesetzeskonform Akteneinsicht zu gewähren. Diesbezüglich ist jedoch festzustellen, dass der (ehemalige) professionelle Rechtsvertreter der Beschwerdeführerin in der Beschwerde hinsichtlich der geltend gemachten Verletzung des Akteneinsichtsrechts keine Rechtsbegehren stellte und auch nicht genauer darlegte, inwieweit ihm keine Akteneinsicht gewährt worden ist. Im Weiteren ist festzuhalten, dass der Beschwerdeführerin aus der Nichtgewährung der vollständigen Akteneinsicht kein Nachteil erwachsen ist, zumal sie beziehungsweise ihr Rechtsvertreter zum Zeitpunkt der Beschwerdeerhebung Kenntnis von allen entscheidrelevanten Akten hatte. Darauf deutet insbesondere auch die Tatsache hin, dass der Rechtsvertreter der Beschwerde-führerin nach Einreichung der Beschwerde nicht erneut um Aktenein-sicht ersuchte, was er sicherlich getan hätte, hätte er keine Kenntnis von allen relevanten Akten gehabt. Im Übrigen hätte die Beschwerde-führerin die Akten des ersten Asylverfahrens - soweit erforderlich - auch von ihrem damaligen Rechtsvertreter herausverlangen können. Obwohl vorliegend von einer nicht gesetzeskonformen Gewährung des Akteneinsichtsrechts durch die Vorinstanz auszugehen ist, kann nach dem Grundsatz der Verfahrensökonomie von einer Rückweisung an die Vorinstanz abgesehen werden, da diese nur zu einem formalis-tischen Leerlauf und damit zu unnötigen Verzögerungen führen würde.</w:t>
      </w:r>
    </w:p>
    <w:p>
      <w:r>
        <w:rPr>
          <w:b/>
        </w:rPr>
        <w:t>E. 5.1</w:t>
      </w:r>
    </w:p>
    <w:p>
      <w:r>
        <w:t>Die Beschwerdeführerin macht im vorliegenden Asylverfahren hinsichtlich einer Rückkehr nach Äthiopien geltend, aufgrund ihrer exilpolitischen Tätigkeiten in der Schweiz würden subjektive Nachfluchtgründe bestehen. Im Folgenden ist daher einzig zu prüfen, ob sie durch ihr Verhalten nach der Ausreise aus dem Heimatland, namentlich wegen ihres politischen Engagements in der Schweiz, Grund für eine zukünftige Verfolgung durch die äthiopischen Behörden gesetzt hat und aus diesem Grund (das heisst infolge Vorliegens subjektiver Nachfluchtgründe) die Flüchtlingseigenschaft erfüllt.</w:t>
      </w:r>
    </w:p>
    <w:p>
      <w:r>
        <w:rPr>
          <w:b/>
        </w:rPr>
        <w:t>E. 5.2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5.3.1</w:t>
      </w:r>
    </w:p>
    <w:p>
      <w:r>
        <w:t>Vorliegend kann die Frage, ob die Beschwerdeführerin tatsächlich im geltend gemachten Ausmass in der Schweiz exilpolitisch tätig gewesen ist, offen gelassen werden. Selbst bei Wahrunterstellung der Vorbringen der Beschwerdeführerin ist nämlich festzustellen, dass die Vorinstanz im vorliegenden Fall zu Recht das Vorliegen subjektiver Nachfluchtgründe verneint hat, zumal exilpolitische Aktivitäten nur dann im Sinne von subjektiven Nachfluchtgründen zur Flüchtlingseigenschaft führen können, wenn zumindest glaubhaft gemacht wird, dass im Falle einer Rückkehr infolge der Exilaktivität mit überwiegender Wahrscheinlichkeit mit asylrelevanter Verfolgung zu rech-nen wäre.</w:t>
      </w:r>
    </w:p>
    <w:p>
      <w:r>
        <w:rPr>
          <w:b/>
        </w:rPr>
        <w:t>E. 5.3.2</w:t>
      </w:r>
    </w:p>
    <w:p>
      <w:r>
        <w:t>Diesbezüglich ist vorab festzuhalten, dass es der Beschwerdeführerin im Rahmen ihres ersten, rechtskräftig abgeschlossenen Asylverfahrens nicht gelungen ist, die damals geltend gemachte politisch motivierte Verfolgung im Heimatland glaubhaft zu machen, weshalb auch nicht davon auszugehen ist, dass sie vor ihrer Ausreise aus Äthiopien im Visier der heimatlichen Behörden stand oder gar als Regimegegnerin und politische Aktivistin registriert war.</w:t>
      </w:r>
    </w:p>
    <w:p>
      <w:r>
        <w:rPr>
          <w:b/>
        </w:rPr>
        <w:t>E. 5.3.3</w:t>
      </w:r>
    </w:p>
    <w:p>
      <w:r>
        <w:t>In ihrem zweiten Asylgesuch beziehungsweise bei der Anhörung vom 4. Dezember 2007 machte die Beschwerdeführerin geltend, sie sei seit dem Jahre 2005 ein aktives Mitglied der ASSUFDE. Als deren Mitglied habe sie in der Schweiz an diversen öffentlichen Veranstal-tungen und Demonstrationen gegen die äthiopische Regierung teilge-nommen. Zudem nehme sie an Sitzungen dieser Organisation teil und versuche, andere Leute dazu zu bewegen, sich dieser Vereinigung anzuschliessen. Im Weiteren sei sie Mitglied der OLF und nehme an deren Sitzungen teil, an denen sie für die Verpflegung sorge. Überdies bezahle sie beiden Organisationen einen Mitgliederbeitrag. Entgegen den von der Beschwerdeführerin geäusserten Befürchtungen ist auf-grund der Aktenlage nicht davon auszugehen, dass die äthiopischen Behörden Kenntnis von diesen Aktivitäten erlangt haben. Zwar ist damit zu rechnen, dass die äthiopischen Sicherheitsbehörden die Aktivitäten der jeweiligen Exilgemeinschaften in einem gewissen Ausmass überwachen und mittels elektronischer Datenbanken regi-strieren (vgl. dazu die Urteile des Bundesverwaltungsgerichts D-5631/2007 vom 1. Juni 2010 und D-7416/2007 vom 27. November 2009). Dieser Umstand reicht indessen für sich allein genommen nicht aus, um eine begründete Verfolgungsfurcht glaubhaft zu machen. Vielmehr müssen zusätzliche konkrete Anhaltspunkte - nicht lediglich abstrakte oder rein theoretische Möglichkeiten - dafür vorliegen, dass die Beschwerdeführerin tatsächlich das Interesse der äthiopischen Behörden auf sich gezogen hat respektive als regimefeindliches Element namentlich identifiziert und registriert wurde. Derartige kon-krete und glaubhafte Hinweise bestehen im vorliegenden Fall nicht. Bei den Kundgebungen, an denen die Beschwerdeführerin teilnahm, war sie eine unter vielen und ging damit in der grossen Masse der Kundgebungsteilnehmer unter. Auf den als Beweismittel eingereichten Fotos von Kundgebungen ist sie nicht einmal klar erkennbar, zumal sie immer zumindest eine Sonnenbrille trägt. Zudem gibt es keine Hinweise dafür, dass die Beschwerdeführerin von allenfalls an den Kundgebungen anwesenden Spitzeln des äthiopischen Geheimdiens-tes identifiziert und in der Folge registriert worden wäre. Insgesamt erscheint es daher ungeachtet der Überwachungsbemühungen der äthiopischen Behörden nicht als überwiegend wahrscheinlich, dass diese von der exilpolitischen Tätigkeit der Beschwerdeführerin Kennt-nis erlangt und sie namentlich identifiziert und registriert haben. Dies umso mehr, als der äthiopische Nachrichtendienst nur über beschrän-kte Ressourcen verfügt. Es fehlen denn auch jegliche Hinweise dafür, dass gegen die Beschwerdeführerin aufgrund ihrer exilpolitischen Tätigkeit in der Schweiz in Äthiopien ein Strafverfahren oder andere behördliche Massnahmen eingeleitet worden wären, obwohl die An-klageerhebung gegen abwesende Personen in Äthiopien gerade im Zusammenhang mit im Ausland lebenden regimekritischen Aktivisten nicht unüblich ist. An dieser Stelle ist im Übrigen unter Hinweis auf die in Art. 8 AsylG verankerte Mitwirkungspflicht festzuhalten, dass es nicht Sache der schweizerischen Asylbehörden sein kann, jede auch nur ansatzweise und abstrakt mögliche Gefährdungssituation im Hei-matland der Beschwerdeführerin abzuklären.</w:t>
      </w:r>
    </w:p>
    <w:p>
      <w:r>
        <w:rPr>
          <w:b/>
        </w:rPr>
        <w:t>E. 5.3.4</w:t>
      </w:r>
    </w:p>
    <w:p>
      <w:r>
        <w:t>Selbst wenn die exilpolitische Tätigkeit der Beschwerdeführerin den äthiopischen Behörden zu einem späteren Zeitpunkt bekannt werden sollte, so erscheint es angesichts der eher bescheidenen Quantität und Qualität ihres Engagements als unwahrscheinlich, dass sie deswegen bei einer Rückkehr nach Äthiopien eine flüchtlingsrechtlich relevante Verfolgung zu gewärtigen hätte. Gemäss eigenen Aussagen der Beschwerdeführerin nahm sie lediglich an wenigen Kundgebungen sowie an Sitzungen der OLF sowie der ASSUFDE in der Schweiz teil. Sie hat innerhalb dieser Organisationen keine Führungs-position inne und übernahm weder Verantwortung noch besondere Aufgaben. Die exilpolitische Tätigkeit der Beschwerdeführerin in der Schweiz lässt sie somit nicht als besonders engagierte und exponierte oder gar staatsgefährdende exilpolitische Aktivistin erscheinen. Viel-mehr erweckt ihr Engagement den Eindruck einer blossen Mitläuferin ohne eigentliche politische oder ideologische Überzeugung, die sich der Bewegung der exilpolitisch tätigen Äthiopier lediglich deshalb angeschlossen hat, weil sie sich davon persönliche Vorteile - nament-lich in Bezug auf die Regelung ihres Aufenthaltes in der Schweiz - erhofft. Die Beschwerdeführerin erfüllt damit nicht das Profil einer Person, welche dem äthiopischen Regime durch ihre (exil-)politische Tätigkeit ernsthaften Schaden zufügen könnte.</w:t>
      </w:r>
    </w:p>
    <w:p>
      <w:r>
        <w:rPr>
          <w:b/>
        </w:rPr>
        <w:t>E. 5.3.5</w:t>
      </w:r>
    </w:p>
    <w:p>
      <w:r>
        <w:t>Gestützt auf die vorstehenden Erwägungen erscheint es insgesamt nicht als überwiegend wahrscheinlich, dass die äthiopischen Behörden die Beschwerdeführerin aufgrund ihrer exilpolitischen Aktivi-täten - sofern sie von diesen überhaupt Kenntnis erlangt haben oder in Zukunft erlangen werden - als konkrete und ernsthafte Bedrohung für das politische System erachten und sie deswegen bei einer Rückkehr nach Äthiopien mit flüchtlingsrechtlich relevanter Verfolgung rechnen müsste. An dieser Einschätzung ändern auch die Ausführungen im Asylgesuch vom 19. Juli 2007 hinsichtlich des Rundschreibens des äthiopischen Aussenministeriums vom 31. Juli 2006 nichts, ebenso wenig der Umstand, dass die Beschwerdeführerin sich seit über sechs Jahren in der Schweiz aufhält. Es ist nicht anzunehmen, dass sie schon aufgrund dieses langen Auslandaufenthaltes bei ihrer Rückkehr in ihr Heimatland vom äthiopischen Staat der subversiven Staatstätig-keit verdächtigt wird und eine Verfolgung durch den äthiopischen Staat zu befürchten hat. Auch die Zugehörigkeit der Beschwerdeführerin zur Ethnie der Oromo vermag nicht dazu zu führen, dass sie bei einer Rückkehr in ihr Heimatland von den äthiopischen Behörden verfolgt wird. Zusammenfassend ist daher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der Beschwerde noch die eingereichten Beweismittel etwas zu ändern, weshalb darauf nicht weiter einzugehen ist.</w:t>
      </w:r>
    </w:p>
    <w:p>
      <w:r>
        <w:rPr>
          <w:b/>
        </w:rPr>
        <w:t>E. 5.4</w:t>
      </w:r>
    </w:p>
    <w:p>
      <w:r>
        <w:t>Unter Berücksichtigung der gesamten Umstände folgt, dass keine subjektiven Nachfluchtgründe im Sinne von Art. 54 AsylG vorliegen, weshalb die Vorinstanz zu Recht die Flüchtlingseigenschaft der Beschwerdeführerin verneint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der Beschwerdeführerin nicht gelungen ist, eine flüchtlingsrechtlich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ihr im Falle einer Rückkehr nach Äthiopien eine derartige Gefahr droht. Entgegen der von der Beschwerdeführerin vertretenen Auffassung lässt auch die allgemeine Menschenrechtssituation in Äthiopien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7.3.3</w:t>
      </w:r>
    </w:p>
    <w:p>
      <w:r>
        <w:t>Aufgrund der persönlichen Situation der Beschwerdeführerin sind ebenfalls keine Gründe ersichtlich, die gegen die Zumutbarkeit des Wegweisungsvollzugs sprechen. Es ist nicht in Abrede zu stellen, dass die Beschwerdeführerin bei einer Rückkehr nach Äthiopien aufgrund ihrer mehrjährigen Landesabwesenheit mit gewissen Schwierig-keiten konfrontiert werden könnte. Indes hat sie bis zu ihrer Ausreise im Jahre 2004, mithin knapp 23 Jahre, in ihrem Heimatstaat gelebt, wo sie als Verkäuferin in einem Lebensmittelladen gearbeitet hat. Über-dies spricht sie neben Amharisch, Oromo, ein wenig Französisch und auch etwas Englisch, weshalb anzunehmen ist, sie könne sich in Äthiopien wirtschaftlich wieder integrieren. Zudem leben ihre Eltern und ihr Bruder in Äthiopien. Bei dieser Sachlage ist davon auszuge-hen, dass die Beschwerdeführerin in ihrem Heimatland über ein soziales Beziehungsnetz verfügt, welches ihr eine Reintegration erleichtern kann. Die Rückkehrhilfe der Schweiz wird ihr den Wiedereinstieg in ihre Heimat ebenfalls erleichtern (Art. 74 der Asylverordnung 2 vom 11. August 1999 [AsylV 2, SR 142.312]). Blosse soziale und wirtschaftliche Schwierigkeiten, von denen die ansässige Bevölkerung im Allgemeinen betroffen ist, genügen nicht, um eine Gefährdung im Sinne von Art. 83 Abs. 4 AuG darzustellen (vgl. die weiterhin zutreffende Praxis in EMARK 2005 Nr. 24 E. 10.1 S. 215). Aufgrund der Akten ist überdies davon auszugehen, dass die Beschwerde-führerin unter keinen nennenswerten gesundheitlichen Problemen leidet. Nach dem Gesagten ist der Vollzug der Wegweisung somit auch als zumutbar zu bezeichnen.</w:t>
      </w:r>
    </w:p>
    <w:p>
      <w:r>
        <w:rPr>
          <w:b/>
        </w:rPr>
        <w:t>E. 7.4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Dem Ausgang des Verfahrens entsprechend wären die Kosten der mit ihren Begehren unterlegenen Beschwerdeführerin zu überbinden (Art. 63 Abs. 1 VwVG). Diese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Der Beschwerdeführerin kann nicht vorgehalten werden, ihrer Beschwerde habe es im Zeitpunkt der Beantragung der unentgeltlichen Rechtspflege mit Blick auf die Erfolgsaussichten an der nötigen Ernsthaftigkeit gefehlt (vgl. BGE 125 II 265 E. 4b S. 275). Aufgrund der Aktenlage ist zudem von der Bedürftigkeit der Beschwerdeführerin auszugehen. Damit sind beide kumulativ erforderlichen Voraussetz-ungen von Art. 65 Abs. 1 VwVG erfüllt. Das Gesuch um Gewährung der unentgeltlichen Rechtspflege ist deshalb gutzuheissen, und die Beschwerdeführerin ist von der Pflicht zur Kostentragung zu befreien. Infolgedessen sind ihr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