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D-5031/2023 vom 9. November 2023</w:t>
      </w:r>
    </w:p>
    <w:p>
      <w:r>
        <w:t>Bundesverwaltungsgericht, 2023-11-09, IT</w:t>
      </w:r>
    </w:p>
    <w:p>
      <w:r>
        <w:rPr>
          <w:b/>
        </w:rPr>
        <w:t xml:space="preserve">Quelle: </w:t>
      </w:r>
      <w:r>
        <w:t>https://mcp.opencaselaw.ch/entscheid/bvger_D-5031_2023</w:t>
      </w:r>
    </w:p>
    <w:p>
      <w:r>
        <w:t>FR: TAF D-5031/2023 du 9 novembre 2023</w:t>
      </w:r>
    </w:p>
    <w:p>
      <w:r>
        <w:t>IT: TAF D-5031/2023 del 9 novembre 2023</w:t>
      </w:r>
    </w:p>
    <w:p>
      <w:pPr>
        <w:pStyle w:val="Heading2"/>
      </w:pPr>
      <w:r>
        <w:t>Regeste</w:t>
      </w:r>
    </w:p>
    <w:p>
      <w:r>
        <w:t>Asilo (non entrata nel merito) ed allontanamento (nessuna domanda asilo - art. 31a cpv.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