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D-5027/2015 vom 28. Februar 2017</w:t>
      </w:r>
    </w:p>
    <w:p>
      <w:r>
        <w:t>Bundesverwaltungsgericht, 2017-02-28, DE</w:t>
      </w:r>
    </w:p>
    <w:p>
      <w:r>
        <w:rPr>
          <w:b/>
        </w:rPr>
        <w:t xml:space="preserve">Quelle: </w:t>
      </w:r>
      <w:r>
        <w:t>https://mcp.opencaselaw.ch/entscheid/bvger_D-5027_2015</w:t>
      </w:r>
    </w:p>
    <w:p>
      <w:r>
        <w:t>FR: TAF D-5027/2015 du 28 février 2017</w:t>
      </w:r>
    </w:p>
    <w:p>
      <w:r>
        <w:t>IT: TAF D-5027/2015 del 28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w:t>
      </w:r>
    </w:p>
    <w:p>
      <w:r>
        <w:t>Der Beschwerdeführer macht geltend, bei der Anhörung seien Übersetzungsprobleme aufgetreten. Dies trifft in einem gewissen Ausmass zu, wobei aber immer wieder nachgefragt und die dolmetschende Person offenbar gut verstanden wurde, weshalb im Ergebnis keine Unklarheiten zurückblieben. Auch die Hilfswerkvertretung sah sich zu keiner Anmerkung veranlasst. Am Schluss bestätigte der Beschwerdeführer die Korrektheit des ihm rückübersetzten Protokolls (vgl. A 17/21 Antworten 1, 19, 21, 26 f., 74 und 80 sowie die Seiten 19 und 21). Entsprechend muss er sich bei seinen Aussagen behaften lassen.</w:t>
      </w:r>
    </w:p>
    <w:p>
      <w:r>
        <w:rPr>
          <w:b/>
        </w:rPr>
        <w:t>E. 5.1</w:t>
      </w:r>
    </w:p>
    <w:p>
      <w:r>
        <w:t>Das SEM hat die Glaubhaftigkeit der Vorbringen des Beschwerdeführers im Zusammenhang mit dem geltend gemachten behördlichen Aufgriff verbunden mit der Internierung in einem militärischen Ausbildungslager verneint und sich dabei auch auf Widersprüche in den Aussagen berufen. In Anbetracht des summarischen Charakters der BzP sind diese aber im Sinne gewisser Beschwerdevorbringen nur bedingt als entscheidwesentlich zu qualifizieren. So ist durchaus denkbar, dass eine ins Gelände gegrabene Unterkunft mit Strohdach trotz ihres unterirdischen Charakters als Hütte bezeichnet werden kann. Ins Gewicht fallen aber die wiederholt unsubstanziierten, karg anmutenden Äusserungen des Beschwerdeführers zum angeblichen Lageraufenthalt und namentlich zur Flucht, wobei weitgehend auf die vorinstanzlichen Feststellungen verwiesen werden kann. Vorab fällt im Übrigen auf, dass seine Spontanschilderungen zum Grund der Ausreise sehr dürftig anmuten (A 17/21 Antwort 77 f.). In der Folge beschrieb er zwar gewisse Einzelheiten bei der Razzia, war dann aber in keiner Weise in der Lage, den Lageraufenthalt und namentlich die Flucht mit Realkennzeichen zu Protokoll zu geben (vgl. a.a.O. Antworten 89 ff.). Dass die Flucht mit "Gottes Hilfe" gelungen sei, vermittelt wiederum nicht den Eindruck persönlicher Betroffenheit, der bei der Schilderung zu erwarten gewesen wäre, hätte sie sich tatsächlich auf subjektiv Erlebtes bezogen. Hinzu kommen Ungereimtheiten beim angeblichen Aufenthalt nach der Flucht. So gab er diesbezüglich an, er sei nach Hause gegangen beziehungsweise ins Dorf beziehungsweise zum Vieh auf die Felder (a.a.O. Antworten 80 und 158 ff.; A 5/13 S. 8 f.). Dieses Aussageverhalten untermauert die Unglaubhaftigkeit der Kernvorbringen, und zwar auch deswegen, weil er sich im Falle einer tatsächlich erfolgten Flucht aus dem Gewahrsam der Militärbehörde kaum ausgerechnet dorthin begeben hätte. Fundierte Beschwerdevorbringen für eine andere Sichtweise fehlen wiederum. Vor diesem Hintergrund ist mithin auch nicht glaubhaft, dass Angehörige seinetwegen entscheidrelevant in den Fokus der Behörden geraten sind.</w:t>
      </w:r>
    </w:p>
    <w:p>
      <w:r>
        <w:rPr>
          <w:b/>
        </w:rPr>
        <w:t>E. 5.2</w:t>
      </w:r>
    </w:p>
    <w:p>
      <w:r>
        <w:t>Mit Blick auf die von der vormaligen Beschwerdeinstanz begründete Rechtsprechung, welche vom Bundesverwaltungsgericht fortgeführt wurde (vgl. dazu u.a. Urteil des Bundesverwaltungsgerichts E-5761/2013 vom 12. Juni 2014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(zur jüngst erfolgten Praxisänderung des Gerichts betreffend Würdigung einer illegalen Ausreise vgl. untenstehend Ziff. 7).</w:t>
      </w:r>
    </w:p>
    <w:p>
      <w:r>
        <w:rPr>
          <w:b/>
        </w:rPr>
        <w:t>E. 5.3</w:t>
      </w:r>
    </w:p>
    <w:p>
      <w:r>
        <w:t>Nach dem Gesagten ist es dem Beschwerdeführer aber nicht gelungen, einen solchen Kontakt und damit eine allfällig drohende Verfolgung gemäss Art. 3 AsylG im Zeitpunkt der Ausreise glaubhaft zu machen. Die eingereichten Beweismittel rechtfertigen offensichtlich keine andere Beurteilung.</w:t>
      </w:r>
    </w:p>
    <w:p>
      <w:r>
        <w:rPr>
          <w:b/>
        </w:rPr>
        <w:t>E. 6.1</w:t>
      </w:r>
    </w:p>
    <w:p>
      <w:r>
        <w:t>Es bleibt somit zu prüfen, ob der Beschwerdeführer wegen seiner Ausreise aus Eritrea bei einer Rückkehr dorthin - mithin wegen subjektiver Nachfluchtgründe - befürchten müsste, ernsthaften Nachteilen im Sinne von Art. 3 AsylG ausgesetzt zu werden.</w:t>
      </w:r>
    </w:p>
    <w:p>
      <w:r>
        <w:rPr>
          <w:b/>
        </w:rPr>
        <w:t>E. 6.2</w:t>
      </w:r>
    </w:p>
    <w:p>
      <w:r>
        <w:t>Als subjektive Nachfluchtgründe kommen insbesondere illegales Verlassen des Heimatlandes (sogenannte Republikflucht),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6.3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7.1</w:t>
      </w:r>
    </w:p>
    <w:p>
      <w:r>
        <w:t>Zur bisherigen Praxis des Bundesverwaltungsgerichts die illegale Ausreise aus Eritrea betreffend kann auf das Bundesveraltungsgerichtsurteil D-7898/2015 vom 30. Januar 2017 (zur Publikation als Referenzurteil vorgesehen) verwiesen werden (vgl. E. 4.1 f.).</w:t>
      </w:r>
    </w:p>
    <w:p>
      <w:r>
        <w:rPr>
          <w:b/>
        </w:rPr>
        <w:t>E. 7.2</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7.3</w:t>
      </w:r>
    </w:p>
    <w:p>
      <w:r>
        <w:t>In Anbetracht der geänderten Rechtsprechung kann die Glaubhaftigkeit der illegalen Ausreise vorliegend offen gelassen werden, da solche zusätzlichen Faktoren im Falle des Beschwerdeführers zu verneinen sind. Es gelang ihm gemäss vorstehenden Erwägungen nicht, den Behördenkontakt betreffend eines allfälligen Einzugs in den eritreischen Nationaldienst in der geschilderten Form glaubhaft zu machen, so dass er nicht als Deserteur oder Refraktär gelten kann. Andere Anknüpfungspunkte, welche ihn in den Augen des eritreischen Regimes als missliebige Person erscheinen lassen könnten, sind ebenfalls nicht ersichtlich. So gab er unter anderem ja an, weder religiös noch politisch aktiv gewesen zu sein. Entscheidrelevantes politisches Engagement von nahen Angehörigen wurde ebenfalls nicht geltend gemacht. Zudem schilderte er seine Befürchtungen im Falle einer Rückkehr nach Eritrea in sehr allgemeiner Art, ohne dabei ein allfällig relevantes Risikoprofil zu vermitteln. Somit bleibt festzuhalten, dass allein die illegale Ausreise keine Furcht vor einer zukünftigen flüchtlingsrechtlich relevanten Verfolgung zu begründen vermöchte, da keine zusätzlichen Faktoren für ein Risikoprofil zu erkennen sind. Auch das blosse Stellen eines Asylgesuchs im Ausland führt zu keiner entscheidrelevanten Schärfung des Risikoprofils (vgl. Urteil des BVGer D-1045/2016 vom 24. Mai 2016 E. 7.4). Wie bereits erwähnt, kann die Frage der Glaubhaftigkeit der illegalen Ausreise mangels Asylrelevanz daher offenbleiben.</w:t>
      </w:r>
    </w:p>
    <w:p>
      <w:r>
        <w:rPr>
          <w:b/>
        </w:rPr>
        <w:t>E. 7.4</w:t>
      </w:r>
    </w:p>
    <w:p>
      <w:r>
        <w:t>Nach dem Gesagten bestehen beim Beschwerdeführer auch keine flüchtlingsrechtlich relevanten subjektiven Nachfluchtgründe.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Der Beschwerdeführer wurde vom SEM mit Entscheid vom 17. Juli 2015 wegen Unzumutbarkeit des Wegweisungsvollzuges vorläufig in der Schweiz aufgenommen. Ausführungen zum Vollzug der Wegweisung erübrigen sich demnach.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Verfahrenskosten dem Beschwerdeführer aufzuerlegen (Art. 63 Abs. 1 VwVG). Er stellte in seiner Rechtsmitteleingabe jedoch ein Gesuch um unentgeltliche Rechtspflege im Sinne von Art. 65 Abs. 1 VwVG, welches das Gericht mit Instruktionsverfügung vom 21. August 2015 guthiess. Folglich werden keine Verfahrenskosten erhoben, zumal sich seine finanzielle Situation nicht entscheidwesentlich veränderte.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