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D-5023/2010 vom 4. August 2010</w:t>
      </w:r>
    </w:p>
    <w:p>
      <w:r>
        <w:t>Bundesverwaltungsgericht, 2010-08-04, DE</w:t>
      </w:r>
    </w:p>
    <w:p>
      <w:r>
        <w:rPr>
          <w:b/>
        </w:rPr>
        <w:t xml:space="preserve">Quelle: </w:t>
      </w:r>
      <w:r>
        <w:t>https://mcp.opencaselaw.ch/entscheid/bvger_D-5023_2010</w:t>
      </w:r>
    </w:p>
    <w:p>
      <w:r>
        <w:t>FR: TAF D-5023/2010 du 4 août 2010</w:t>
      </w:r>
    </w:p>
    <w:p>
      <w:r>
        <w:t>IT: TAF D-5023/2010 del 4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w:t>
      </w:r>
    </w:p>
    <w:p>
      <w:r>
        <w:t>Für das Bundesverwaltungsgericht besteht nach Überprüfung der Akten keine Veranlassung, die Erwägungen des BFM zu beanstanden. Um Wiederholungen zu vermeiden, kann daher vorab auf die zutreffenden vorinstanzlichen Ausführungen in der angefochtenen Verfügung vom 10. Juni 2010 verwiesen werden. Die Vorbringen in der Rechtsmitteleingabe vom 7. Juli 2010 sind nicht geeignet, eine Änderung der angefochtenen Verfügung zu bewirken. Der Argumentation des BFM werden keine stichhaltigen Gründe entgegengesetzt. Eine Auseinandersetzung mit den vorinstanzlichen Erwägungen unterbleibt zwar nicht grundsätzlich, die Vorbringen verlaufen jedoch in allgemeinen Ausführungen zu den Lebensumständen in Nigeria beziehungsweise ihrem Wohnort K._______ und dem Nachschieben zentraler Sachverhaltselemente, die durch keine stichhaltigen Argumente gestützt werden und deren Nennung ohnehin anlässlich der Befragungen und der Anhörungen erwartet worden wären. Zudem verstricken sie sich zusätzlich in Widersprüche. Gegen die Glaubhaftigkeit ihrer Vorbringen sprechen zudem, dass sie in den jeweiligen Befragungen Falschangaben zu ihrem Alter sowie zur Adresse und Namen der Eltern gemacht haben und die Ausführungen zu ihrem Fluchtweg nicht übereinstimmen.</w:t>
      </w:r>
    </w:p>
    <w:p>
      <w:r>
        <w:rPr>
          <w:b/>
        </w:rPr>
        <w:t>E. 5.2</w:t>
      </w:r>
    </w:p>
    <w:p>
      <w:r>
        <w:t>Zusammenfassend bestätigt das Bundesverwaltungsgericht die Erkenntnis des BFM, dass es den Beschwerdeführenden nicht gelungen ist, ihre Asylvorbringen glaubhaft darzutun, weshalb vorliegend auch auf die Prüfung verzichtet werden kann, ob diese überhaupt asylrelevant wären. Es erübrigt sich daher, auf die Vorbringen in der Beschwerde im Einzelnen einzugehen, weil sie an dieser Würdigung nichts zu ändern vermögen. Die Beschwerdeführenden erfüllen somit die Flüchtlingseigenschaft nicht, weshalb ihre Asylgesuche abzulehnen sind.</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Nigeria ist demnach unter dem Aspekt von Art. 5 AsylG rechtmässig. Sodann ergeben sich weder aus den Aussagen der Beschwerdeführenden noch aus den Akten Anhaltspunkte dafür, dass sie für den Fall einer Ausschaffung nach Nigeria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Nigeria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Nigeria herrscht zur Zeit weder Krieg oder Bürgerkrieg, noch liegt eine Situation allgemeiner Gewalt vor, aufgrund derer die Zivilbevölkerung als konkret gefährdet bezeichnet werde müsste. Unter diesen Umständen ist der Vollzug der Wegweisung der gemäss Akten jungen und gesunden Beschwerdeführenden in ihr Heimatland als zumutbar zu bezeichnen. Sie verfügen in Nigeria über ein familiäres und soziales Beziehungsnetz (vgl. A1, S. 6 und A2, S. 6). Zudem arbeitete die Beschwerdeführerin in ihrer Heimat als Coiffeuse (vgl. A1, S. 4) und der Beschwerdeführer unter anderem als Hilfsarbeiter (vgl. A2, S. 3), womit sie sich ihren Lebensunterhalt verdienen konnten. Überdies dürften sie auch mit der finanziellen Unterstützung ihrer in Nigeria verbliebenen Verwandten und der zahlreich in Europa lebenden Familienangehörigen der Beschwerdeführerin (vgl. A1, S. 6) rechnen, weshalb nicht davon auszugehen ist, dass sie bei ihrer Rückkehr nach Nigeria in eine existenzbedrohende Situation geraten könnten. Der gemeinsame Sohn der Beschwerdeführenden ist mittlerweile knapp ein halbes Jahr alt und auch bei ihm liegen gemäss der vorliegenden Akten keine gesundheitlichen Probleme vor. Mittlerweile dürfte somit ein Flug nach Nigeria kein Problem für die Gesundheit des Kleinkindes darstellen. Nach dem Gesagten erweist sich der Vollzug der Wegweisung auch als zumutbar.</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Das mit der Beschwerde gestellte Gesuch um Gewährung der unentgeltlichen Rechtspflege gemäss Art. 65 Abs. 1 VwVG ist abzuweisen, da die Begehren - wie sich aus den vorliegenden Erwägungen ergibt - als aussichtslos zu bezeichnen sind, weshalb die kumulativen Voraussetzungen für die Gewährung der unentgeltlichen Rechtspflege nicht erfüllt sind. Zudem sind die Rechtsbegehren, es sei auf die Erhebung eines Kostenvorschusses zu verzichten und die Asylbehörden hätten jegliche Kontaktaufnahme mit den nigerianischen Behörden zu unterlassen, aufgrund des direkten Entscheides in der Hauptsache gegenstandslos geworden.</w:t>
      </w:r>
    </w:p>
    <w:p>
      <w:r>
        <w:rPr>
          <w:b/>
        </w:rPr>
        <w:t>E. 10.2</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