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D-5021/2014 vom 7. April 2015</w:t>
      </w:r>
    </w:p>
    <w:p>
      <w:r>
        <w:t>Bundesverwaltungsgericht, 2015-04-07, DE</w:t>
      </w:r>
    </w:p>
    <w:p>
      <w:r>
        <w:rPr>
          <w:b/>
        </w:rPr>
        <w:t xml:space="preserve">Quelle: </w:t>
      </w:r>
      <w:r>
        <w:t>https://mcp.opencaselaw.ch/entscheid/bvger_D-5021_2014</w:t>
      </w:r>
    </w:p>
    <w:p>
      <w:r>
        <w:t>FR: TAF D-5021/2014 du 7 avril 2015</w:t>
      </w:r>
    </w:p>
    <w:p>
      <w:r>
        <w:t>IT: TAF D-5021/2014 del 7 aprile 2015</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BFM respektive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 was in casu nicht zutrifft - bei Vorliegen eines Auslieferungsersuchens des Staates, vor welchem die beschwerdeführende Person Schutz sucht (Art. 105 AsylG; Art. 83 Bst. d Ziff. 1 BGG).</w:t>
      </w:r>
    </w:p>
    <w:p>
      <w:r>
        <w:rPr>
          <w:b/>
        </w:rPr>
        <w:t>E. 1.2</w:t>
      </w:r>
    </w:p>
    <w:p>
      <w:r>
        <w:t>Die Beschwerde ist frist- und formgerecht eingereicht. Die Beschwerdeführerin hat am Verfahren vor der Vorinstanz teilgenommen, ist durch die angefochtene Verfügung besonders berührt und hat ein schutzwürdiges Interesse an deren Aufhebung beziehungsweise Änderung. Sie ist daher zur Einreichung der Beschwerde legitimiert (Art. 108 Abs. 1 AsylG sowie Art. 105 AsylG i.V.m. Art. 37 VGG und Art. 48 Abs. 1 und Art. 52 VwVG). Auf die Beschwerde ist somit einzutreten.</w:t>
      </w:r>
    </w:p>
    <w:p>
      <w:r>
        <w:rPr>
          <w:b/>
        </w:rPr>
        <w:t>E. 2</w:t>
      </w:r>
    </w:p>
    <w:p>
      <w:r>
        <w:t>Mit Beschwerde kann die Verletzung von Bundesrecht (einschliesslich Missbrauch und Überschreitung des Ermessens) sowie die unrichtige und unvollständige Feststellung des rechtserheblichen Sachverhalts gerügt werden (Art. 106 Abs. 1 AsylG).</w:t>
      </w:r>
    </w:p>
    <w:p>
      <w:r>
        <w:rPr>
          <w:b/>
        </w:rPr>
        <w:t>E. 3.1</w:t>
      </w:r>
    </w:p>
    <w:p>
      <w:r>
        <w:t>Gemäss Art. 2 Abs. 1 AsylG gewährt die Schweiz Flüchtlingen grundsätzlich Asyl. Als Flüchtling wird eine ausländische Person anerkannt, wenn sie in ihrem Heimatstaat oder im Land, in dem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Den frauenspezifischen Fluchtgründen ist Rechnung zu tragen. (Art. 3 AsylG).</w:t>
      </w:r>
    </w:p>
    <w:p>
      <w:r>
        <w:rPr>
          <w:b/>
        </w:rPr>
        <w:t>E. 3.2</w:t>
      </w:r>
    </w:p>
    <w:p>
      <w:r>
        <w:t>Wer um Asyl nachsucht, muss die Flüchtlingseigenschaft nachweisen oder zumindest glaubhaft machen. Diese ist glaubhaft gemacht, wenn die Behörde ihr Vorhandensein mit überwiegender Wahrscheinlichkeit für gegeben hält. Vorbringen sind glaubhaft, wenn sie genügend substanziiert, in sich schlüssig und plausibel sind; sie dürfen sich nicht in vagen Schilderungen erschöpfen, in wesentlichen Punkten widersprüchlich sein oder der inneren Logik entbehren und auch nicht den Tatsachen oder der allgemeinen Erfahrung widersprechen (Art. 7 AsylG). Entscheidend ist, ob eine Gesamtwürdigung der Vorbringen ergibt, dass die Gründe, die für die Richtigkeit der Sachverhaltsdarstellung des Gesuchstellers sprechen, überwiegen oder nicht (vgl. BVGE 2013/11 E. 5.1 [S. 142 f.]).</w:t>
      </w:r>
    </w:p>
    <w:p>
      <w:r>
        <w:rPr>
          <w:b/>
        </w:rPr>
        <w:t>E. 4.1</w:t>
      </w:r>
    </w:p>
    <w:p>
      <w:r>
        <w:t>Wie bereits unter Bst. B des Sachverhalts erwähnt, ersuchte der vormalige Rechtsvertreter der Beschwerdeführerin das BFM mit Schreiben vom 16. Juni 2014 (im Zusammenhang mit der von ihr erlittenen Verfolgung), ihr Dossier sowie diejenigen ihres Ehemannes und ihrer Tochter C._______ zu trennen. In der Folge erliess das BFM für diese Familienmitglieder am selben Tag je einen separaten Entscheid, wobei die Kinder D._______ und E._______ in denjenigen ihres Vaters einbezogen wurden.</w:t>
      </w:r>
    </w:p>
    <w:p>
      <w:r>
        <w:rPr>
          <w:b/>
        </w:rPr>
        <w:t>E. 4.2</w:t>
      </w:r>
    </w:p>
    <w:p>
      <w:r>
        <w:t>In ihrer Beschwerde nimmt die Beschwerdeführerin vorweg Bezug auf die beantragte Verfahrenstrennung und führt weiter aus, sie habe, abgesehen von der erlittenen Verfolgung, dieselben Asylgründe wie ihr Ehemann geltend gemacht, weshalb dessen Beschwerde vom selben Tag integraler Bestandteil ihrer eigenen Beschwerde sei. Dies beziehe sich auf sämtliche Ausführungen in dessen Beschwerde, welche direkt oder sinngemäss auch für das Verfahren der Beschwerdeführerin gelten würden. Deshalb werde in ihrer Beschwerde auf die Ausführungen in der Beschwerde ihres Ehemannes verwiesen und seien eigentlich nur bezogen auf die Frage der Glaubhaftigkeitsprüfung separate Ausführungen notwendig und vorhanden (...).</w:t>
      </w:r>
    </w:p>
    <w:p>
      <w:r>
        <w:rPr>
          <w:b/>
        </w:rPr>
        <w:t>E. 4.3</w:t>
      </w:r>
    </w:p>
    <w:p>
      <w:r>
        <w:t>In der Beschwerde werden insbesondere eine Verletzung des Anspruchs auf das rechtliche Gehör sowie eine unvollständige und unrichtige Abklärung des Sachverhalts gerügt.</w:t>
      </w:r>
    </w:p>
    <w:p>
      <w:r>
        <w:rPr>
          <w:b/>
        </w:rPr>
        <w:t>E. 4.4</w:t>
      </w:r>
    </w:p>
    <w:p>
      <w:r>
        <w:t>Die Beschwerde des Ehemannes der Beschwerdeführerin wird mit Urteil des Bundesverwaltungsgerichts vom selben Tag gutgeheissen, soweit die Aufhebung der vorinstanzlichen Verfügung vom 29. Juli 2014 beantragt wird, und die Sache zur vollständigen Sachverhaltsfeststellung und Neubeurteilung an die Vorinstanz zurückgewiesen.</w:t>
      </w:r>
    </w:p>
    <w:p>
      <w:r>
        <w:rPr>
          <w:b/>
        </w:rPr>
        <w:t>E. 4.5</w:t>
      </w:r>
    </w:p>
    <w:p>
      <w:r>
        <w:t>Infolge des engen persönlichen, sachlichen und verfahrensrechtlichen Zusammenhangs sowohl mit dem erstinstanzlichen als auch dem Beschwerdeverfahren des Ehemannes der Beschwerdeführerin ist die Beschwerde nach dem Gesagten gutzuheissen, soweit die Aufhebung der vorinstanzlichen Verfügung vom 29. Juli 2014 beantragt wird, und die Sache zur vollständigen Sachverhaltsfeststellung und Neubeurteilung an die Vorinstanz zurückzuweisen. Die vorinstanzlichen Akten sind dem SEM mit dem Urteil im Beschwerdeverfahren des Ehemannes der Beschwerdeführerin zuzustellen, zusammen mit dem Beschwerdedossier, welches ebenfalls Prozessstoff des vorinstanzlichen Verfahrens bilden wird. Auf die weiteren formalen und inhaltlichen Vorbringen in der Rechtsmitteleingabe ist bei diesem Verfahrensausgang nicht weiter einzugehen.</w:t>
      </w:r>
    </w:p>
    <w:p>
      <w:r>
        <w:rPr>
          <w:b/>
        </w:rPr>
        <w:t>E. 5.1</w:t>
      </w:r>
    </w:p>
    <w:p>
      <w:r>
        <w:t>Bei diesem Ausgang des Verfahrens sind keine Kosten zu erheben (Art. 63 Abs. 1 und 2 VwVG i.V.m. Art. 37 VGG).</w:t>
      </w:r>
    </w:p>
    <w:p>
      <w:r>
        <w:rPr>
          <w:b/>
        </w:rPr>
        <w:t>E. 5.2</w:t>
      </w:r>
    </w:p>
    <w:p>
      <w:r>
        <w:t>Der vertretenen Beschwerdeführerin ist angesichts ihres Obsiegens in Anwendung von Art. 64 VwVG und Art. 7 Abs. 1 des Reglements vom 21. Februar 2008 über die Kosten und Entschädigungen vor dem Bundesverwaltungsgericht (VGKE, SR 173.320.2) eine Entschädigung für die ihr notwendigerweise erwachsenen Parteikosten zuzusprechen. Es wurde keine Kostennote zu den Akten gereicht. Der notwendige Vertretungsaufwand lässt sich indes aufgrund der Aktenlage zuverlässig abschätzen, weshalb auf die Einholung einer solchen verzichtet werden kann (Art. 14 Abs. 2 in fine VGKE). Gestützt auf die in Betracht zu ziehenden Bemessungsfaktoren (Art. 9-11 und 13 VGKE) ist der Beschwerdeführerin zulasten der Vorinstanz eine Parteientschädigung von insgesamt Fr. 500.- (inkl. Auslagen und MWSt) zuzusprechen.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