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D-5019/2006 vom 16. Dezember 2009</w:t>
      </w:r>
    </w:p>
    <w:p>
      <w:r>
        <w:t>Bundesverwaltungsgericht, 2009-12-16, DE</w:t>
      </w:r>
    </w:p>
    <w:p>
      <w:r>
        <w:rPr>
          <w:b/>
        </w:rPr>
        <w:t xml:space="preserve">Quelle: </w:t>
      </w:r>
      <w:r>
        <w:t>https://mcp.opencaselaw.ch/entscheid/bvger_D-5019_2006</w:t>
      </w:r>
    </w:p>
    <w:p>
      <w:r>
        <w:t>FR: TAF D-5019/2006 du 16 décembre 2009</w:t>
      </w:r>
    </w:p>
    <w:p>
      <w:r>
        <w:t>IT: TAF D-5019/2006 del 16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105 AsylG i.V.m. Art. 37 VGG sowie Art. 48, Art. 50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Beschwerdeverbesserung vom 6. September 2006 äusserte sich der Beschwerdeführer zur Anwendbarkeit von Art. 1 D des Abkommens über die Rechtsstellung der Flüchtlinge vom 28. Juli 1951 (FK, SR 0.142.30) und hielt diesbezüglich im Wesentlichen fest, dass er als Nachkomme von Flüchtlingen, welche vor 1948 Wohnsitz im damaligen Völkerbundsgebiet Palästina hatten, Anspruch auf Schutz durch die UNRWA (United Nations Relief and Works Agency for Palestine Refugees in the Near East) habe. Da er jedoch nicht mehr in der Lage sei, sich der UNRWA zu unterstellen, habe er gemäss UNHCR automatisch Anspruch auf die Schutzmechanismen der Genfer Flüchtlingskonvention, weshalb ihm in der Schweiz Asyl zu gewähren sei.</w:t>
      </w:r>
    </w:p>
    <w:p>
      <w:r>
        <w:rPr>
          <w:b/>
        </w:rPr>
        <w:t>E. 5.2</w:t>
      </w:r>
    </w:p>
    <w:p>
      <w:r>
        <w:t>Das Bundesverwaltungsgericht hielt im Grundsatzurteil vom 11. September 2008 (BVGE 2008/34) dazu Folgendes fest: Die Definition des Flüchtlingsbegriffs gemäss Art. 3 AsylG deckt sich im Wesentlichen mit der völkerrechtlichen Umschreibung des Flüchtlingsbegriffs in Art. 1 A Ziff. 2 FK in Verbindung mit der in Art. 1 des Protokolls vom 31. Januar 1967 über die Rechtstellung der Flüchtlinge (Protokoll von 1967, SR 0.142.30) erfolgten Aufhebung der zeitlichen und der geografischen Einschränkung; die beiden Flüchtlingsbegriffe stimmen auch inhaltlich weitgehend überein. Vor diesem Hintergrund ist Art. 3 AsylG in Nachachtung von Art. 5 Abs. 4 und Art. 190 der Bundesverfassung der Schweizerischen Eidgenossenschaft vom 18. April 1999 (BV, SR 101) völkerrechtskonform auszulegen, das heisst auch im Lichte des konventionsrechtlichen Flüchtlingsbegriffs (a.a.O. E. 5.1). Die Tragweite des Flüchtlingsbegriffs gemäss Art. 1 A Ziff. 2 FK wird unmittelbar durch die Bestimmung von Art. 1 D Abs. 1 FK begrenzt. Gemäss dieser findet die Flüchtlingskonvention keine Anwendung auf Personen, die zurzeit durch eine andere Organisation oder Institution der Vereinten Nationen als den Hochkommissär der Vereinten Nationen für Flüchtlinge Schutz und Hilfe erhalten. Nach Art. 1 D Abs. 2 FK geniessen sie alle Rechte dieses Abkommens, wenn dieser Schutz oder diese Hilfe aus irgendeinem Grunde weggefallen ist, ohne dass die Stellung dieser Personen durch entsprechende Beschlüsse der Generalversammlung der Vereinten Nationen endgültig geregelt worden wäre. Im erwähnten Grundsatzurteil hielt das Bundesverwaltungsgericht bezüglich der Anwendbarkeit dieses Artikels Folgendes fest: Das Asylgesetz enthält zwar keine Art. 1 D Abs. 1 FK entsprechende Ausschlussbestimmung; da aber Art. 1 D FK unmittelbar anwendbar ist ("self-executing") muss Art. 3 grundsätzlich auch im Lichte dieser FK-Bestimmung ausgelegt werden (a.a.O. E. 5.2). Aufgrund des soeben Ausgeführten prüfte das Bundesverwaltungsgericht im zitierten Grundsatzurteil, ob unter das Mandat der UNRWA fallende Personen palästinensischer Herkunft gestützt auf Art. 1 D Abs. 1 FK von der Anerkennung als Flüchtling auszuschliessen sind. Diesbezüglich kam das Gericht zu folgendem Schluss: Die UNRWA gewährt oder vermittelt keinen Schutz vor Verfolgung, der gestützt auf Art. 1 D Abs. 1 FK rechtfertigen würde, sämtliche unter ihr Mandat fallende palästinensische Personen generell vom Anwendungsbereich der Flüchtlingskonvention und damit von der allfälligen Anerkennung als Flüchtling auszuschliessen. Da eine Anwendung der Ausschlussklausel von Art. 1 D Abs. 1 FK bereits mangels hinreichender Qualität des von der UNRWA jemals gewährten oder vermittelten Schutzes ausser Betracht fällt, brauchen weitere Fragen zur Auslegung dieser Bestimmung, aber auch der mit ihr eng verbundenen (Wieder-)Einschlussklausel von Art. 1 D Abs. 2 FK an dieser Stelle nicht näher erörtert zu werden. Auch bei palästinensischen Asylsuchenden, die unter das Mandat der UNRWA fallen, sich aber ausserhalb des UNRWA-Gebietes befinden, ist damit stets individuell zu prüfen, ob sie aufgrund ihrer Vorbringen die Voraussetzungen für die Zusprechung der Flüchtlingseigenschaft nach Art. 1 A Ziff. 2 FK beziehungsweise Art. 3 AsylG erfüllen (a.a.O. E. 6.5). Zusammenfassend ist daher festzuhalten, dass im vorliegenden Fall Art. 1 D FK nicht zur Anwendung kommt. Daher ist nachfolgend zu prüfen, ob der Beschwerdeführer die Voraussetzungen für die Zusprechung der Flüchtlingseigenschaft nach Art. 1 A Ziff. 2 FK beziehungsweise Art. 3 AsylG erfüllt.</w:t>
      </w:r>
    </w:p>
    <w:p>
      <w:r>
        <w:rPr>
          <w:b/>
        </w:rPr>
        <w:t>E. 6.1</w:t>
      </w:r>
    </w:p>
    <w:p>
      <w:r>
        <w:t>Die Vorinstanz hat die vom Beschwerdeführer geltend gemachte Suche des israelischen Geheimdienstes nach seiner Person und seine Mitgliedschaft bei den Al-Aksa-Brigaden als unglaubhaft beurteilt. Im Folgenden ist zu prüfen, ob das BFM diesen Vorbringen gestützt auf Art. 7 AsylG zu Recht die Glaubhaftigkeit abgesprochen hat.</w:t>
      </w:r>
    </w:p>
    <w:p>
      <w:r>
        <w:rPr>
          <w:b/>
        </w:rPr>
        <w:t>E. 6.2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6.3</w:t>
      </w:r>
    </w:p>
    <w:p>
      <w:r>
        <w:t>Vorab ist festzustellen, dass der Beschwerdeführer den Wortlaut sämtlicher Protokolle mit seiner Unterschrift bestätigt hat und sich deshalb seine Aussagen grundsätzlich entgegenhalten lassen muss. Im Weiteren ist darauf hinzuweisen, dass den Aussagen einer asylsuchenden Person im Empfangszentrum (vorliegend Transitzentrum)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Befragung beim Kanton oder beim BFM diametral abweichen, oder wenn bestimmte Ereignisse oder Befürchtungen, welche später als zentrale Asylgründe genannt werden, nicht bereits in der Befragung im Empfangszentrum zumindest ansatzweise erwähnt werden.</w:t>
      </w:r>
    </w:p>
    <w:p>
      <w:r>
        <w:rPr>
          <w:b/>
        </w:rPr>
        <w:t>E. 6.4.1</w:t>
      </w:r>
    </w:p>
    <w:p>
      <w:r>
        <w:t>Nach Prüfung der Akten durch das Gericht ist in Übereinstimmung mit der Vorinstanz festzustellen, dass die Aussagen des Beschwerdeführers hinsichtlich der Suche des israelischen Geheimdienstes nach seiner Person in wesentlichen Punkten widersprüchlich beziehungsweise unglaubhaft sind. Beispielsweise führte der Beschwerdeführer anlässlich der Kurzbefragung vom 4. Juli 2006 aus, er sei zwei Monate nach seiner im April 2005 erfolgten Rückkehr ins Westjordanland, somit im Juni 2005, das erste Mal vom israelischen Geheimdienst vorgeladen worden (act. C 1/11, S. 6), demgegenüber erklärte er bei der Anhörung vom 13. Juli 2006, er sei ungefähr im August 2005 das erste Mal vorgeladen worden (act. C 9/10, S. 4). Die in der Rechtsmittelschrift vorgebrachte Erklärung, wonach er sich damals in einer schwierigen Situation befunden habe, vermag diesen Widerspruch nicht plausibel zu machen. Bezüglich der zweiten Vorladung durch den israelischen Geheimdienst machte der Beschwerdeführer anlässlich der Kurzbefragung vom 4. Juli 2006 geltend, diese sei seinem Bruder ein paar Tage nach der ersten Vorladung, die er Ende Juni 2005 erhalten habe, übergeben worden (act. C 1/11, S. 6). Diese Ausage des Beschwerdeführers ist jedoch mit der als Beweismittel eingereichten zweiten Vorladung, welche mit dem Ausstellungsdatum 14. September 2005 versehen ist, in keiner Weise vereinbar. Bezüglich dieser Vorladung ist zudem festzuhalten, dass es nicht nachvollziehbar ist, dass sie dem Bruder des Beschwerdeführers anlässlich dessen Grenzüberquerung von Jordanien nach Israel übergeben worden sein soll, insbesondere da der israelische Geheimdienst gar nicht wissen konnte, dass der Bruder an diesem Grenzübergang vorbei kommen würde und er - der Geheimdienst - genau gewusst haben soll, wo der Beschwerdeführer gewohnt habe, weshalb es für den Geheimdienst einfacher gewesen wäre, die Vorladung dem Beschwerdeführer an dessen Wohnort persönlich zu überbringen. Bezeichnenderweise vermochte der Beschwerdeführer weder in den Befragungen noch in der Rechtsmittelschrift für dieses Vorgehen des Geheimdienstes eine überzeugende Erklärung abzugeben. Übereinstimmend mit der Vorinstanz ist ausserdem festzuhalten, dass auch der Inhalt der eingereichten Vorladung gegen das behauptete Vorgehen des israelischen Geheimdienstes spricht. Das Schreiben enthält insbesondere weder ein Meldedatum noch eine Unterschrift, was den Schluss zulässt, dass das Dokument nicht echt ist. Die Behauptung des Beschwerdeführers, wonach das Meldedatum auf dem eingereichten Dokument vom Wasser weggewischt worden sei, kann nicht geglaubt werden, da an der Stelle des fehlenden Meldedatums auf dem eingereichten Dokument überhaupt keine Druck- oder Schreibspuren vorhanden sind. Bezeichnenderweise hat der Beschwerdeführer die in der Rechtsmittelschrift in Aussicht gestellte Kopie dieser Vorladung, auf der das Meldedatum angeblich noch lesbar sei (act. C 9/10, S. 6), bis zum heutigen Tag nicht eingereicht. Aufgrund des soeben Ausgeführten ist die eingereichte Vorladung gestützt auf Art. 10 Abs. 4 AsylG einzuziehen. Wegen des soeben Gesagten kann dem Beschwerdeführer nicht geglaubt werden, dass er vom israelischen Geheimdienst zur Spitzeltätigkeit aufgefordert worden ist und nun von diesem wegen seiner fehlenden Bereitschaft verfolgt wird.</w:t>
      </w:r>
    </w:p>
    <w:p>
      <w:r>
        <w:rPr>
          <w:b/>
        </w:rPr>
        <w:t>E. 6.4.2</w:t>
      </w:r>
    </w:p>
    <w:p>
      <w:r>
        <w:t>Bezüglich der Aussage des Beschwerdeführers, wonach er sich den Al-Aksa-Brigaden angeschlossen habe, ist vorab festzuhalten, dass schon deshalb erhebliche Zweifel an diesem Anschluss bestehen, da dem Beschwerdeführer - wie soeben dargelegt - nicht geglaubt werden kann, dass er vom israelischen Geheimdienst zur Spitzeltätigkeit aufgefordert worden ist und nun von diesem verfolgt wird, was der Beschwerdeführer aber gerade als Beweggrund für seinen Beitritt zu den Al-Aksa-Brigaden angegeben hat (act. C 9/10, S. 7). Zudem ist festzustellen, dass sich der Beschwerdeführer bezüglich seiner Tätigkeiten, die er für die Al-Aksa-Brigaden ausgeführt haben will, erheblich widersprochen hat. So sagte er anlässlich der Kurzbefragung vom 4. Juli 2006 aus, er habe lediglich an Beerdigungen teilgenommen, wenn jemand von den Israeli getötet worden sei (act. C 1/11, S. 7), hingegen er bei der Anhörung vom 13. Juli 2006 vorbrachte, er habe für die Al-Aksa-Brigaden nur Flugblätter verteilt (act. C 9/10, S. 3). Auch die diesbezüglichen Ausführungen in der Beschwerde sind nicht geeignet, diesen Widerspruch auszuräumen. Überdies ist zu bemerken, dass die Ausführungen des Beschwerdeführers zu seiner behaupteten Mitgliedschat bei den Al-Aksa-Brigaden insgesamt sehr unsubstanziiert ausgefallen sind. Es ist davon auszugehen, dass der Beschwerdeführer viel detaillierter über seine Zeit bei den Al-Aksa-Brigaden hätte berichte können, wäre er tatsächlich Mitglied dieser Organisation gewesen. Bezeichnenderweise hat der Beschwerdeführer den in der Rechtsmittelschrift in Aussicht gestellte Mitgliederausweis der Al Aksa-Brigaden dem Gericht bis zum heutigen Tag nicht eingereicht.</w:t>
      </w:r>
    </w:p>
    <w:p>
      <w:r>
        <w:rPr>
          <w:b/>
        </w:rPr>
        <w:t>E. 6.5</w:t>
      </w:r>
    </w:p>
    <w:p>
      <w:r>
        <w:t>Zusammenfassend ergibt sich, dass die Vorbringen des Beschwerdeführers, wonach er in seiner Heimat vom israelischen Geheimdienst gesucht werde, da er von ihm zur Spitzeltätigkeit aufgefordert worden sei beziehungsweise er sich den Al-Aksa-Brigaden angeschlossen habe, als nicht überwiegend wahrscheinlich und somit als nicht glaubhaft im Sinne von Art. 7 AsylG zu erachten sind. Nach dem Gesagten ist zu schliessen, der Beschwerdeführer habe lediglich versucht, die unter E. 6.4 erwähnten Asylgründe in allgemein bekannte Umstände in seiner Heimat (Westjordanland) einzubetten, ohne je selbst davon betroffen gewesen zu sein.</w:t>
      </w:r>
    </w:p>
    <w:p>
      <w:r>
        <w:rPr>
          <w:b/>
        </w:rPr>
        <w:t>E. 7.1</w:t>
      </w:r>
    </w:p>
    <w:p>
      <w:r>
        <w:t>Der Beschwerdeführer begründete sein Asylgesuch zudem mit den schwierigen Lebensbedingungen, die im Westjordanland aufgrund der israelischen Besatzung herrschten. Die Vorinstanz führte dazu in der angefochtenen Verfügung im Wesentlichen aus, dass es sich bei diesen Problemen nicht um ernsthafte Nachteile handeln würde, weshalb diese Vorbringen nicht asylrelevant seien.</w:t>
      </w:r>
    </w:p>
    <w:p>
      <w:r>
        <w:rPr>
          <w:b/>
        </w:rPr>
        <w:t>E. 7.2</w:t>
      </w:r>
    </w:p>
    <w:p>
      <w:r>
        <w:t>Gemäss Art. 3 AsylG müssen die Nachteile, die den Asylgesuchstellern im Herkunftsland zugefügt werden oder drohen, gezielt und ernsthaft sein. Mit der Vorinstanz ist festzustellen, dass Nachteile, welche auf die allgemeinen politischen, wirtschaftlichen oder sozialen Lebensbedingungen in einem Staat zurückzuführen sind, keine asylbeachtliche Verfolgung im Sinne von Art. 3 AsylG darstellen. Es ist zwar nicht von der Hand zu weisen, dass die Bewegungsfreiheit der im Westjordanland lebenden Palästinenser durch die von den Israeli errichtete Sperranlage stark eingeschränkt wurde und es zu Verschlechterungen bei der gesundheitlichen Versorgung und einer Zunahme der Armut und Arbeitslosigkeit gekommen ist. Dabei handelt es sich jedoch nicht um ernsthafte Nachteile im Sinne des Asylgesetzes, weshalb die Flüchtlingseigenschaft des Beschwerdeführers zu verneinen ist. Die vom Beschwerdeführer geltend gemachten schwierigen Lebensbedingungen im Westjordanland werden bei der Prüfung der Zumutbarkeit eines allfälligen Wegweisungsvollzugs (vgl. Art. 83 Abs. 4 des Bundesgesetzes vom 16. Dezember 2005 über die Ausländerinnen und Ausländer [AuG, SR 142.20] i.V.m. Art. 44 Abs. 2 AsylG) zu beachten sein (vgl. nachfolgend E. 10.4.2).</w:t>
      </w:r>
    </w:p>
    <w:p>
      <w:r>
        <w:rPr>
          <w:b/>
        </w:rPr>
        <w:t>E. 8</w:t>
      </w:r>
    </w:p>
    <w:p>
      <w:r>
        <w:t>Bezüglich der vom Beschwerdeführer in der Rechtsmittelschrift geltend gemachten Behauptung, wonach er aufgrund seiner Mitgliedschaft bei der Fatah bei einer Rückkehr ins Westjordanland ernsthaften Nachteilen ausgesetzt wäre, ist schliesslich festzuhalten, dass dieses Vorbringen als nachgeschoben und unglaubhaft zu qualifizieren ist, da der Beschwerdeführer eine derartige Befürchtung anlässlich der protokollierten Befragungen nicht geltend gemacht hat.</w:t>
      </w:r>
    </w:p>
    <w:p>
      <w:r>
        <w:rPr>
          <w:b/>
        </w:rPr>
        <w:t>E. 9</w:t>
      </w:r>
    </w:p>
    <w:p>
      <w:r>
        <w:t>Aufgrund der vorstehenden Erwägungen erübrigt es sich, auf die weiteren Ausführungen in der Beschwerde sowie die übrigen eingereichten Beweismittel einzugehen, weil diese am Ergebnis nichts ändern können. Unter Berücksichtigung der gesamten Umstände folgt, dass der Beschwerdeführer keine Gründe nach Art. 3 AsylG nachweisen oder glaubhaft machen konnte. Das Bundesamt hat sein Asylgesuch zu Recht abgelehnt.</w:t>
      </w:r>
    </w:p>
    <w:p>
      <w:r>
        <w:rPr>
          <w:b/>
        </w:rPr>
        <w:t>E. 10.1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10.2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11.1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11.2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11.3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ins palästinensische Autonomiegebiet (Westjordanland) ist demnach unter dem Aspekt von Art. 5 AsylG rechtmässig. Sodann ergeben sich weder aus den Aussagen des Beschwerdeführers noch aus den Akten Anhaltspunkte dafür, dass er für den Fall einer Ausschaffung in das palästinensische Autonomiegebiet (Westjordanland)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Dies ist ihm aufgrund der vorstehenden Erwägungen nicht gelungen. Auch die allgemeine Menschenrechtssituation im palästinensischen Autonomiegebiet (Westjordanland) lässt den Wegweisungsvollzug zum heutigen Zeitpunkt nicht als unzulässig erscheinen. Nach dem Gesagten ist der Vollzug der Wegweisung sowohl im Sinne der asyl- als auch der völkerrechtlichen Bestimmungen zulässig.</w:t>
      </w:r>
    </w:p>
    <w:p>
      <w:r>
        <w:rPr>
          <w:b/>
        </w:rPr>
        <w:t>E. 11.4.1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11.4.2</w:t>
      </w:r>
    </w:p>
    <w:p>
      <w:r>
        <w:t>Die Lage im Westjordanland wurde in den letzten Jahren stark von der im Sommer 2002 durch die Israeli begonnenen Errichtung einer Sperranlage beeinflusst, welche die Bewegungsfreiheit der im Westjordanland lebenden Palästinenser stark eingeschränkt hat. So kam es zu Verschlechterungen bei der gesundheitlichen Versorgung und einer Zunahme der Armut und Arbeitslosigkeit. Verschiedene Regionen wurden zunehmend stark isoliert und es grenzte für Palästinenser bisweilen an Unmöglichkeit, zu Schulen, Spitälern oder zur Arbeit zu gelangen. An den Checkpoints wurde zudem die Einreise oft willkürlich verweigert und die - für Reisen zwischen dem Westjordanland und dem Gazastreifen benötigte - Bewilligung wurde nur willkürlich vergeben. Auch die wirtschaftliche Lage hat sich seit Errichtung der Sperranlage verschlechtert (vgl. &lt;http://www.refugees.org&gt; &gt; About Refugees &gt; Publications &amp; Archives &gt; World Refugee Survay &gt; Israeli Occupied Territories [zuletzt besucht am 20. November 2009]). Der innerpalästinensische Machtkampf zwischen der bei den Wahlen vom 25. Januar 2006 als Sieger hervorgegangenen Hamas und der von Mahmud Abbas angeführten Palästinensischen Autonomiebehörde (PA) hat im Juni 2007 dazu geführt, dass die PA ihren Einfluss nunmehr auf das - von israelischer Seite weiterhin besetzte - Westjordanland beschränkt. Nach diesem Machtwechsel und der dadurch bedingten Trennung der Machtverhältnisse zwischen dem Gazastreifen und dem Westjordanland, machte es sich die PA durch ihren Präsidenten Mahmud Abbas und den Ministerpräsidenten Salam Fayyad zum Ziel, die Position ihrer Fatah mit Hilfe einer Kooperation mit der israelischen Regierung und der internationalen Gemeinschaft durch die Einführung eines neuen "West Bank Models" zu stärken und damit die Hamas indirekt zu schwächen. Das Westjordanland soll demnach als Modell eines palästinensischen Staates gelten, als Motor für politische Entwicklungen, weshalb die innere Ordnung stabilisiert werden soll, indem vor allem in die öffentliche Sicherheit und Finanzen investiert wird. Mit der Durchsetzung von "Law and Order", also einer Verbesserung der inneren Sicherheit des Westjordanlandes soll vorab das Vertrauen der Palästinenser in ihre Regierung verstärkt werden. Es sind denn auch positive Entwicklungen in den Bereichen Wirtschaft - so weist das Marktverhalten einen Trend nach oben und die Arbeitslosigkeitsrate einen Trend nach unten auf - und innere Sicherheit zu verzeichnen. Trotz der fortdauernden Omnipräsenz der israelischen Besatzer im Westjordanland hat sich die städtische Ordnung in letzter Zeit verbessert und die Aktivitäten der Miliz haben abgenommen. Auch was die Sperrmauer anbelangt, sind seit April 2008 Verbesserungen in Sicht; so hat die israelische Regierung verschiedene Checkpoints und Hindernisse aufgehoben, um die innerterritoriale Bewegung im Westjordanland zu fördern (vgl. zum Ganzen: &lt;http://www.crisisgroup.org&gt; &gt; middle east and north africa &gt; arab-israeli Conflict &gt; After Gaza, sowie Ruling Palestine II: The West Bank Model? [abgerufen am 20. November 2009]; United Nations Office for the Coordination of Humanitarian Affairs, OCHA Closure Update, 30. April - 11. September 2008, S. 1). Insgesamt liegt nach dem Gesagten mit Blick auf das Westjordanland keine Situation allgemeiner Gewalt vor.</w:t>
      </w:r>
    </w:p>
    <w:p>
      <w:r>
        <w:rPr>
          <w:b/>
        </w:rPr>
        <w:t>E. 11.4.3</w:t>
      </w:r>
    </w:p>
    <w:p>
      <w:r>
        <w:t>Vorliegend sind auch keine individuellen Gründe ersichtlich, aufgrund derer unter Umständen geschlossen werden könnte, der Beschwerdeführer gerate im Falle der Rückkehr in eine existenzbedrohende Situation. Der - gemäss den Akten - gesunde, relativ junge Beschwerdeführer verfügt über einen Mittelschulabschluss und spricht neben arabisch, mittelmässig Englisch sowie ein wenig Deutsch und Hebräisch. Aufgrund dessen ist es ihm zuzumuten, sich wieder im Westjordanland niederzulassen und eine neue Existenz aufzubauen. Darüber hinaus werden ihm seine nach wie vor in seinem Heimatdorf lebenden fünf Geschwister bei der Wiedereingliederung behilflich sein können. Schliesslich ist festzuhalten, dass blosse soziale und wirtschaftliche Schwierigkeiten, von denen die ansässige Bevölkerung im Allgemeinen betroffen ist, nicht genügen, um eine Gefährdung im Sinne von Art. 83 Abs. 4 AuG darzustellen (vgl. die weiterhin zutreffende Praxis in EMARK 2005 Nr. 24 E. 10.1 S. 215). Angesichts der gesamten Umstände ist der Vollzug der Wegweisung - in Übereinstimmung mit der Vorinstanz - daher auch als zumutbar zu bezeichnen.</w:t>
      </w:r>
    </w:p>
    <w:p>
      <w:r>
        <w:rPr>
          <w:b/>
        </w:rPr>
        <w:t>E. 11.5.1</w:t>
      </w:r>
    </w:p>
    <w:p>
      <w:r>
        <w:t>Der Beschwerdeführer machte in der Rechtsmittelschrift geltend, seine Wegweisung ins Westjordanland erweise sich als unmöglich, insbesondere da er über keine gültigen Reisepapiere verfüge.</w:t>
      </w:r>
    </w:p>
    <w:p>
      <w:r>
        <w:rPr>
          <w:b/>
        </w:rPr>
        <w:t>E. 11.5.2</w:t>
      </w:r>
    </w:p>
    <w:p>
      <w:r>
        <w:t>Was die Frage der Möglichkeit des Wegweisungsvollzugs betrifft, bleibt diese Prüfung beschränkt: Nur wenn zur Zeit des Urteils klar erkennbar ist, dass der Vollzug aus technischen oder rechtlichen Gründen auf unabsehbare Zeit nicht möglich ist, stellt das Bundesverwaltungsgericht dies von sich aus fest und weist die Vorinstanz an, anstelle des Vollzugs die vorläufige Aufnahme anzuordnen. Die Möglichkeit einer freiwilligen Heimreise steht der Feststellung, ein Wegweisungsvollzug erweise sich als unmöglich, von vornherein entgegen (vgl. EMARK 2002 Nr. 23 E. 4. f S. 187).</w:t>
      </w:r>
    </w:p>
    <w:p>
      <w:r>
        <w:rPr>
          <w:b/>
        </w:rPr>
        <w:t>E. 11.5.3</w:t>
      </w:r>
    </w:p>
    <w:p>
      <w:r>
        <w:t>Aufgrund der Aktenlage ist nicht - oder jedenfalls nicht mit der erforderlichen Klarheit - erkennbar, dass eine Rückkehr des Beschwerdeführers ins Westjordanland auf unbestimmte Zeit nicht möglich wäre, zumal es dem Beschwerdeführer möglich ist, bei der zuständigen Behörde neue Reisepapiere zu beschaffen. Überdies ist der Beschwerdeführer schon nach der Ablehnung seines zweiten Asylgesuchs in der Schweiz - in dessen Rahmen er einen Reisepass zu den Akten gereicht hatte - im Jahre 2005 ins Westjordanland zurückgekehrt, was darauf schliessen lässt, dass er auch diesmal dorthin zurückkehren kann. Der Vollzug der Weisung ist somit auch als möglich im Sinne von Art. 83 Abs. 2 AuG zu bezeichnen.</w:t>
      </w:r>
    </w:p>
    <w:p>
      <w:r>
        <w:rPr>
          <w:b/>
        </w:rPr>
        <w:t>E. 12</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13</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14.1</w:t>
      </w:r>
    </w:p>
    <w:p>
      <w:r>
        <w:t>Mit dem vorliegenden Entscheid in der Hauptsache wird das Gesuch um Verzicht auf die Erhebung eines Kostenvorschusses gegenstandslos.</w:t>
      </w:r>
    </w:p>
    <w:p>
      <w:r>
        <w:rPr>
          <w:b/>
        </w:rPr>
        <w:t>E. 14.2</w:t>
      </w:r>
    </w:p>
    <w:p>
      <w:r>
        <w:t>Da der Beschwerdeführer mit seiner Beschwerde vollumfänglich unterlegen ist, wären ihm grundsätzlich die Verfahrenskosten im Betrag von Fr. 600.-- aufzuerlegen (Art. 63 Abs. 1 und 5 VwVG). Der Beschwerdeführer hat jedoch um Gewährung der unentgeltlichen Rechtspflege ersucht. Gemäss Art. 65 Abs. 1 VwVG wird die Partei, die nicht über die erforderlichen Mittel verfügt, auf Antrag von der Bezahlung der Verfahrenskosten befreit, sofern ihr Begehren nicht aussichtslos erscheint. Vorliegend ist davon auszugehen, dass der Beschwerdeführer mittellos ist. Zudem erschien das Begehren des Beschwerdeführers im Zeitpunkt der Beschwerdeeinreichung als nicht aussichtslos. Das Gesuch um Gewährung der unentgeltlichen Rechtspflege ist demnach gutzuheissen und es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