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D-5015/2010 vom 4. April 2011</w:t>
      </w:r>
    </w:p>
    <w:p>
      <w:r>
        <w:t>Bundesverwaltungsgericht, 2011-04-04, DE</w:t>
      </w:r>
    </w:p>
    <w:p>
      <w:r>
        <w:rPr>
          <w:b/>
        </w:rPr>
        <w:t xml:space="preserve">Quelle: </w:t>
      </w:r>
      <w:r>
        <w:t>https://mcp.opencaselaw.ch/entscheid/bvger_D-5015_2010</w:t>
      </w:r>
    </w:p>
    <w:p>
      <w:r>
        <w:t>FR: TAF D-5015/2010 du 4 avril 2011</w:t>
      </w:r>
    </w:p>
    <w:p>
      <w:r>
        <w:t>IT: TAF D-5015/2010 del 4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in Kosovo sei es in den ver­gangenen Jahren vereinzelt zu schwerwiegenden Übergriffen auf Ange­hörige der ethnischen Minderheiten, namentlich der Ägypter, gekom­men. Auch nach der Unabhängigkeitserklärung von Kosovo sei indes weiter­hin eine internationale zivile und militärische Präsenz vor Ort. Die in­ternatio­nalen Sicherheitskräfte und der Kosovo Police Ser­vice (KPS) seien weitgehend in der Lage, die ethnischen Minderheiten zu schützen. Die Sicherheitskräfte würden bei Übergriffen intervenieren und Straftaten ge­gen Angehö­rige von Minderheiten ahnden. Es sei demnach vom Vorhandensein eines adäquaten Schutzes durch den Heimatstaat auszugehen, weshalb den gel­tend gemachten Über­griffen asylrechtlich keine Relevanz zukomme. Zudem wiesen die Ausführungen des Beschwerdeführers zu den geltend gemachten Übergriffen Unglaubhaftigkeitselemente auf. So besässen sie wenig Substanz und seien überschlägig und pauschal. Widersprechend seien zudem seine Aussagen zu den vorgebrachten Anzeigen. Während er an der Erstbefragung keinerlei Angaben darüber habe machen können, wie oft er Anzeige erstattet habe, habe er an der Anhörung behauptet, es seien ein oder zwei Mal gewesen. Seine Aussage, wonach auch seine Brüder betroffen gewesen seien, stehe im Widerspruch zu den Abklärungen der Botschaft und sei deshalb wenig glaubhaft. Ebenso lägen keine substanziierten Hinweise vor, dass der Beschwerdeführer beziehungsweise seine Familie wegen angeblicher Kollaboration während des Krieges mit den Serben zum heutigen Zeitpunkt Übergriffen ausgesetzt wäre. So könne er weder zu den angeblichen Angreifern noch zu den Gründen der Angriffe konkrete Angaben machen. An diesen Erwägungen vermöge auch das als Beweismittel zu den Akten gereichte Empfehlungsschreiben der IRDK nichts zu ändern. Abgesehen davon, dass es als reines Gefälligkeitsschreiben einzustufen sei, weiche es inhaltlich von den Angaben des Beschwerdeführers an der Anhörung ab. So stehe im besagten Schreiben ausdrücklich, dass die Übergriffe auf ihn durch unbekannte Personen in seinem Quartier erfolgt seien, während er jedoch verneint habe, dass die Angreifer aus seinem Quartier stammen würden. Ebenso vermöchten die Ausführungen in seiner Stellungnahme vom 27. Mai 2010 zu den Abklärungsergebnissen der Botschaft an diesen Erwägungen nichts zu ändern.</w:t>
      </w:r>
    </w:p>
    <w:p>
      <w:r>
        <w:rPr>
          <w:b/>
        </w:rPr>
        <w:t>E. 4.2</w:t>
      </w:r>
    </w:p>
    <w:p>
      <w:r>
        <w:t>Der Beschwerdeführer machte zur Begründung der Beschwerde geltend, in Kosovo könnten weiterhin jederzeit Übergriffe auf Minderheiten geschehen und die Sicherheitsorgane seien nicht in der Lage diese zu verhindern. Zudem trauten sich betroffene Minderheiten nicht, staatlichen Schutz in Anspruch zu nehmen, da sie dann meist weiteren Repressionen ausgesetzt würden. Er habe die geltend gemachten Übergriffe bei sämtlichen Einvernahmen identisch geschildert. Zudem seien diese durch die Botschaftsabklärung bestätigt worden. Es sei offensichtlich, dass sich seine Mutter und Schwester nur bezüglich ihm und nicht bezüglich seinen Brüdern geäussert hätten. Zudem hätten sie sich grosse Zurückhaltung auferlegt. Es sei bekannt, dass die Minderheiten der Roma und Ägypter im Krieg von den Serben für Aufgaben beigezogen und privilegiert worden seien. Es sei deshalb naheliegend, dass auch er und seine Familie der Kollaboration verdächtigt würden und mit Repressionen zu rechnen hätten. Schliesslich führte der Beschwerdeführer aus, er wolle bald eine in der Schweiz vorläufig aufgenommene Serbin heiraten.</w:t>
      </w:r>
    </w:p>
    <w:p>
      <w:r>
        <w:rPr>
          <w:b/>
        </w:rPr>
        <w:t>E. 4.3</w:t>
      </w:r>
    </w:p>
    <w:p>
      <w:r>
        <w:t>In seiner Vernehmlassung führte das BFM aus, was die beabsichtigte Heirat betreffe, könne der Beschwerdeführer nach Abschluss des Asylverfahrens ein Gesuch um Erteilung einer fremdenpolizeilicher Aufenthaltsbewilligung bei den zuständigen kantonalen Behörden einreichen. Den Ausgang des Bewilligungsverfahrens könne er allenfalls auch in seinem Heimatstaat abwarten.</w:t>
      </w:r>
    </w:p>
    <w:p>
      <w:r>
        <w:rPr>
          <w:b/>
        </w:rPr>
        <w:t>E. 4.4</w:t>
      </w:r>
    </w:p>
    <w:p>
      <w:r>
        <w:t>Der Beschwerdeführer hielt in seiner Replik hierzu fest, es sei ihnen nicht möglich und zumutbar die Eheschliessung in Kosovo vorzunehmen oder nach der Heirat dorthin zurückzukehren.</w:t>
      </w:r>
    </w:p>
    <w:p>
      <w:r>
        <w:rPr>
          <w:b/>
        </w:rPr>
        <w:t>E. 5</w:t>
      </w:r>
    </w:p>
    <w:p>
      <w:r>
        <w:t>Der Beschwerdeführer macht ethnisch motivierte Übergriffe von Sei­ten privater Dritter geltend. Aufgrund der Akten erweisen sich indes die vo­r­in­stanz­lichen Erwägungen, wonach die Asylrelevanz der geltend ge­mach­ten Verfolgungsvor­bringen in Anbetracht des Schutzwillens und auch der weitgehenden Schutzfähigkeit der in Kosovo tätigen nationalen und internationalen Sicherheitsbehörden zu verneinen sei, als zu­tref­fend (vgl. zur allgemeinen Situation der Minderheiten in Kosovo BVGE 2007/10). Das BFM erwähnt in diesem Zusammenhang ferner zu Recht, dass die Ausführungen des Beschwerdeführers zu den geltend gemachten Übergriffen Unglaubhaftigkeitselemente aufweisen, sodass diesbezüglich auf dessen Erwägungen verwiesen werden kann. Der Einwand des Beschwerdeführers, seine Familienmitglieder hätten sich nicht getraut den von der Botschaft entsandten Personen umfassend Auskunft zu geben und deshalb die Übergriffe auf die Brüder nicht erwähnt, ist wenig überzeugend, da sie ja gewillt waren, die ihn betreffenden Vorfälle zu bestätigen. Im Weiteren vermag das Argument, Minderheiten trauten sich aus Angst vor Repressionen nicht, staatlichen Schutz in Anspruch zu nehmen, insofern nicht zu überzeugen, als ein allenfalls nicht adäquates Reagieren der loka­len Sicherheitskräfte oder deren Passivität bei einer vorgesetzten In­stanz hätte gerügt werden können. Ebenso stellte das BFM richtig fest, dass keine substanziierten Hinweise vorliegen, dass der Beschwerdeführer beziehungsweise seine Familie wegen angeblicher Kollaboration während des Krieges mit den Serben zum heutigen Zeitpunkt Übergriffen ausgesetzt wären. Aus der in der Beschwerde angeführten allgemeinen Tatsache, dass die Minderheiten der Roma und Ägypter im Krieg von den Serben für Aufgaben beigezogen und privilegiert worden seien und deshalb mit Repressionen zu rechnen hätten, kann der Beschwerdeführer nichts zu seinen Gunsten ableiten. Die geltend gemachte ernsthafte Gefähr­dung vor Ort - auch wegen mangelnder Schutzgewährung - er­scheint mithin als nicht glaubhaft, weshalb eine begründete Furcht vor ernsthaf­ten Nachteilen zu verneinen ist. An dieser Einschätzung vermag das eingereichte Bestätigungsschreiben der IRDK vom 5. Januar 2009 nichts zu ändern. Zwar müssen die diesbezüglich Erwägungen des BFM relativiert werden. So bedeutet die Angabe im Schreiben, wonach die Übergriffe durch unbekannte Personen in seinem Quartier erfolgt seien, nicht unbedingt, dass die Personen aus seinem Quartier stammten, sondern vielmehr, dass die Übergriffe in seinem Quartier stattfanden, sodass das Schreiben inhaltlich nicht von den Angaben des Beschwerdeführers an der Anhörung abweicht. Das BFM hielt aber richtig fest, dass es sich um ein Gefälligkeitsschreiben handelt, welches zudem eher vage verfasst wurde, sodass daraus mangels hinreichenden Beweiswertes nichts zu Gunsten des Beschwerdeführers abgeleitet werden kann.</w:t>
      </w:r>
    </w:p>
    <w:p>
      <w:r>
        <w:rPr>
          <w:b/>
        </w:rPr>
        <w:t>E. 6</w:t>
      </w:r>
    </w:p>
    <w:p>
      <w:r>
        <w:t>Dem Beschwerdeführer ist es demnach nicht gelungen, nachzu­wei­sen oder glaub­haft zu machen, dass er in Kosovo aktuell be­grün­de­te Furcht vor ernsthaf­ten Nachteilen im Sinne von Art. 3 Abs. 2 AsylG ha­ben muss. Das BFM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7.3</w:t>
      </w:r>
    </w:p>
    <w:p>
      <w:r>
        <w:t>Bezüglich der in der Beschwerde angekündigten Heirat mit einer in der Schweiz vorläufig aufgenommenen Serbin, welche gemäss den Akten bis anhin nicht vollzogen worden ist, kann auf die Erwägungen des BFM in seiner Vernehmlassung vom 16. August 2010 verwiesen werden, zumal der Beschwerdeführer aus den Heiratsabsichten keinen Anspruch auf Verbleib in der Schweiz ableiten kann.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Betreffend die Frage der Zumutbarkeit des Wegweisungsvollzugs alba­nischsprachiger Roma, Ashkali und Ägypter aus Ko­sovo im Allgemeinen ist wiederum auf die geltende Praxis zu verweisen (vgl. Bst. C. vorste­hend zu BVGE 2007/10 E. 5.3). Diese Beurteilung ist auch nach der Unab­hängigkeit von Kosovo noch gültig. Die Vorinstanz hat die erforderliche Einzelfallabklärung nunmehr veranlasst. Das Ergebnis lässt darauf schliessen, dass der Beschwerdeführer albanischer Muttersprache nach Y._______ zu seinen Angehörigen zurückkehren kann und dort nicht rele­vant gefährdet ist. Auch eine Wohngelegenheit ist vorhanden. Nachdem nach der Ausreise eines weiteren Bruders des Beschwerdeführers nur noch zwei Brüder und eine Schwester bei den Eltern leben, sollte die Unterbringung des Beschwerdeführers keine Probleme bereiten. Der Beschwerdeführer verfügt über eine neunjährige Schulbildung und arbeitete vor der Aus­reise zunächst als Chauffeur eines Lebensmitteltransporters und anschliessend in einem Lebensmittelladen. In der Schweiz arbeitete er im Transport- und im Bauwesen. Seine Familienangehörigen waren im Zeitpunkt der Abklärungen zwar nicht arbeitstätig, konnten aber vom Geld von Verwandten im Ausland offenbar gut leben. Aus den Akten erge­ben sich ferner keine Anhaltspunkte für behandlungsbedürftige Krankhei­ten des noch jungen Beschwerdeführers. Blosse soziale und wirtschaftliche Schwierigkeiten, von denen die ansässige Bevölkerung im Allgemeinen betroffen ist, genügen nicht, um eine Gefahr im Sinne von Art. 83 Abs. 4 AuG darzustellen (vgl. die weiterhin zutreffende Praxis der ARK in Entscheidungen und Mitteilungen der Schwei­zerischen Asylrekurskommission [EMARK] 2005 Nr. 24 E. 10.1. S. 215). Entspre­chend ist nicht davon auszugehen, dass er im Herkunftsort in eine existenz­gefährdende Situation geraten könnte.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der Beschwerdefüh­rer am 26. Juli 2010 eine Fürsorgebestätigung nachgereicht hat und die Begehren in der Beschwerde auch nicht als aussichtslos zu bezeichnen waren, ist jedoch das mit der Beschwerde gestellte Gesuch um Gewäh­rung der unentgeltlichen Rechtspflege im Sinne von Art. 65 Abs. 1 VwVG gutzuheissen. Es werden demnach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