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D-5013/2014 vom 7. April 2015</w:t>
      </w:r>
    </w:p>
    <w:p>
      <w:r>
        <w:t>Bundesverwaltungsgericht, 2015-04-07, DE</w:t>
      </w:r>
    </w:p>
    <w:p>
      <w:r>
        <w:rPr>
          <w:b/>
        </w:rPr>
        <w:t xml:space="preserve">Quelle: </w:t>
      </w:r>
      <w:r>
        <w:t>https://mcp.opencaselaw.ch/entscheid/bvger_D-5013_2014</w:t>
      </w:r>
    </w:p>
    <w:p>
      <w:r>
        <w:t>FR: TAF D-5013/2014 du 7 avril 2015</w:t>
      </w:r>
    </w:p>
    <w:p>
      <w:r>
        <w:t>IT: TAF D-5013/2014 del 7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(Art. 7 AsylG). Entscheidend ist, ob eine Gesamtwürdigung der Vorbringen ergibt, dass die Gründe, die für die Richtigkeit der Sachverhaltsdarstellung des Gesuchstellers sprechen, überwiegen oder nicht (vgl. BVGE 2013/11 E. 5.1 [S. 142 f.]).</w:t>
      </w:r>
    </w:p>
    <w:p>
      <w:r>
        <w:rPr>
          <w:b/>
        </w:rPr>
        <w:t>E. 4.1</w:t>
      </w:r>
    </w:p>
    <w:p>
      <w:r>
        <w:t>Wie bereits unter Bst. B des Sachverhalts erwähnt, ersuchte der vormalige Rechtsvertreter der Beschwerdeführerin das BFM mit Schreiben vom 16. Juni 2014, ihr Dossier sowie diejenigen ihrer Mutter (im Zusammenhang mit der von dieser erlittenen Verfolgung) und ihres Vaters zu trennen. In der Folge erliess das BFM für diese Familienmitglieder am selben Tag je einen separaten Entscheid, wobei die Geschwister G._______ und H._______ der Beschwerdeführerin in denjenigen ihres Vaters einbezogen wurden.</w:t>
      </w:r>
    </w:p>
    <w:p>
      <w:r>
        <w:rPr>
          <w:b/>
        </w:rPr>
        <w:t>E. 4.2</w:t>
      </w:r>
    </w:p>
    <w:p>
      <w:r>
        <w:t>Demgegenüber umfasst die Rechtsmitteleingabe des vormaligen Rechtsvertreters sowohl den Vater der Beschwerdeführerin als auch diese selbst und ihre (...) Geschwister (vgl. Beschwerde).</w:t>
      </w:r>
    </w:p>
    <w:p>
      <w:r>
        <w:rPr>
          <w:b/>
        </w:rPr>
        <w:t>E. 4.3</w:t>
      </w:r>
    </w:p>
    <w:p>
      <w:r>
        <w:t>In der Beschwerde werden insbesondere eine Verletzung des Anspruchs auf das rechtliche Gehör sowie eine unvollständige und unrichtige Abklärung des Sachverhalts gerügt (...).</w:t>
      </w:r>
    </w:p>
    <w:p>
      <w:r>
        <w:rPr>
          <w:b/>
        </w:rPr>
        <w:t>E. 4.4</w:t>
      </w:r>
    </w:p>
    <w:p>
      <w:r>
        <w:t>Die Beschwerde des Vaters der Beschwerdeführerin wird mit Urteil des Bundesverwaltungsgerichts vom selben Tag gutgeheissen, soweit die Aufhebung der vorinstanzlichen Verfügung vom 29. Juli 2014 beantragt wird, und die Sache zur vollständigen Sachverhaltsfeststellung und Neubeurteilung an die Vorinstanz zurückgewiesen.</w:t>
      </w:r>
    </w:p>
    <w:p>
      <w:r>
        <w:rPr>
          <w:b/>
        </w:rPr>
        <w:t>E. 4.5</w:t>
      </w:r>
    </w:p>
    <w:p>
      <w:r>
        <w:t>Infolge des engen persönlichen, sachlichen und verfahrensrechtlichen Zusammenhangs sowohl mit dem erstinstanzlichen als auch dem Beschwerdeverfahren des Vaters der Beschwerdeführerin ist die Beschwerde nach dem Gesagten gutzuheissen, soweit die Aufhebung der vorinstanzlichen Verfügung vom 29. Juli 2014 beantragt wird, und die Sache zur vollständigen Sachverhaltsfeststellung und Neubeurteilung an die Vorinstanz zurückzuweisen. Die vorinstanzlichen Akten sind dem SEM mit dem Urteil im Beschwerdeverfahren des Vaters der Beschwerdeführerin zuzustellen, zusammen mit dem Beschwerdedossier, welches ebenfalls Prozessstoff des vorinstanzlichen Verfahrens bilden wird. Auf die weiteren formalen und inhaltlichen Vorbringen in der Rechtsmitteleingabe ist bei diesem Verfahrensausgang nicht weiter einzugehen.</w:t>
      </w:r>
    </w:p>
    <w:p>
      <w:r>
        <w:rPr>
          <w:b/>
        </w:rPr>
        <w:t>E. 5.1</w:t>
      </w:r>
    </w:p>
    <w:p>
      <w:r>
        <w:t>Bei diesem Ausgang des Verfahrens sind keine Kosten zu erheben (Art. 63 Abs. 1 und 2 VwVG i.V.m. Art. 37 VGG).</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9-11 und 13 VGKE) ist der Beschwerdeführerin zulasten der Vorinstanz eine Parteientschädigung von insgesamt Fr. 500.-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