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D-5008/2022 vom 23. Oktober 2023</w:t>
      </w:r>
    </w:p>
    <w:p>
      <w:r>
        <w:t>Bundesverwaltungsgericht, 2023-10-23, DE</w:t>
      </w:r>
    </w:p>
    <w:p>
      <w:r>
        <w:rPr>
          <w:b/>
        </w:rPr>
        <w:t xml:space="preserve">Quelle: </w:t>
      </w:r>
      <w:r>
        <w:t>https://mcp.opencaselaw.ch/entscheid/bvger_D-5008_2022</w:t>
      </w:r>
    </w:p>
    <w:p>
      <w:r>
        <w:t>FR: TAF D-5008/2022 du 23 octobre 2023</w:t>
      </w:r>
    </w:p>
    <w:p>
      <w:r>
        <w:t>IT: TAF D-5008/2022 del 23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t>D-5008/2022 Seite 5</w:t>
      </w:r>
    </w:p>
    <w:p>
      <w:r>
        <w:rPr>
          <w:b/>
        </w:rPr>
        <w:t>E. 2</w:t>
      </w:r>
    </w:p>
    <w:p>
      <w:r>
        <w:t>Da die Asylvorbringen der Beschwerdeführerin eng mit denen ihres eben- falls sich im Asylbeschwerdeverfahren befindenden Ehemanns (D._______, Beschwerdeverfahren D-3137/2020) zusammenhängen, wer- den beide Beschwerdeverfahren koordiniert behandelt (gleiches Spruch- gremium und gleiches Urteilsdatum). Die jeweiligen Verfahrensakten wer- den von Amtes wegen beigezogen.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damit, dass das kriminelle Ver- halten des Schwiegervaters der Beschwerdeführerin flüchtlingsrechtlich nicht relevant sei, da es Rachecharakter aufweise und nicht auf den im Asylgesetz festgehaltenen Gründen basiere. Die Beweggründe, welche ih- ren Ehemann zur Flucht aus Sri Lanka bewegt hätten, und die sich auf die Zeit nach der Haftentlassung des Schwiegervaters bezogen hätten, seien</w:t>
      </w:r>
    </w:p>
    <w:p>
      <w:r>
        <w:t>D-5008/2022 Seite 6 nicht glaubhaft gemacht, weshalb auch die Vorbringen der Beschwerde- führerin, welche sich auf die Vorbringen ihres Ehemannes bezögen, nicht geglaubt werden könnten. Den von ihr in diesem Zusammenhang einge- reichten Beweismitteln komme keine hohe Beweiskraft zu. Beim Schreiben des Dorfvorstehers handle es sich offenbar um ein Gefälligkeitsschreiben, da dieser ihr wohlgesinnt und darum bemüht sei, sie zu unterstützen. Im Hinblick auf die erlittenen sexuellen Übergriffe, welche die Beschwer- deführerin bedauerlicherweise erlitten habe, sei sie gehalten, die sri-lanki- schen Behörden um Schutz zu ersuchen. Für das kriminelle Fehlverhalten von einzelnen Polizisten bestünden Sanktionen, für deren Durchsetzung die nächst höhere Instanz oder Menschenrechtsorganisationen angerufen werden könnten. Die Beschwerdeführerin habe Zugang zu staatlichem Schutz gehabt, da die Polizei ihre Anzeige entgegengenommen habe. Ihre Vermutung, wonach die Täter selbst zur Polizei gehörten, weil sie von ihrer Anzeige gewusst hätten, sei dabei eine unbelegte Behauptung geblieben. Der Umstand, dass sie und ihre Tochter im Haus ihres Cousins und dessen Bekannten Schutz gefunden hätten und in der Folge nicht mehr belästigt worden seien, spreche zudem dafür, dass die unbekannten Personen kein ernsthaftes Interesse daran gehabt hätten, sie zu finden. Der Umstand, dass sie nach Ablegen der Prüfung ihrer Tochter wieder in das Haus der Mutter zurückgekehrt sei, weise darauf hin, dass sie zuversichtlich gewe- sen sei, keine weiteren Behelligungen erleben zu müssen. Es sei auch da- von auszugehen, dass sie im Fall der Rückkehr an einen anderen Ort Sri Lankas keinen Behelligungen ausgesetzt sein würde, womit ihr eine inner- staatliche Schutzalternative zur Verfügung stehe.</w:t>
      </w:r>
    </w:p>
    <w:p>
      <w:r>
        <w:rPr>
          <w:b/>
        </w:rPr>
        <w:t>E. 5.2</w:t>
      </w:r>
    </w:p>
    <w:p>
      <w:r>
        <w:t>In der Beschwerde machte die Beschwerdeführerin geltend, sie bringe eigenständige Asylgründe vor, welche nicht nur vom Konflikt ihres Ehe- mannes abhängig seien. Bereits aufgrund ihrer Eigenschaft als Ehefrau und Familienmitglied ihres Ehemannes gehöre sie zu einer sozialen Gruppe im Sinne von Art. 3 Abs. 2 AsylG. Der sri-lankische Staat könne ihr keinen Schutz gewähren; die Vorinstanz habe diesbezüglich die gegenwär- tige politische und wirtschaftliche Krise in Sri Lanka in ihre Interessensab- wägung nicht miteinbezogen. Ihren Rückweisungsantrag begründete die Beschwerdeführerin damit, dass der Sachverhalt durch die Vorinstanz zu wenig konkret abgeklärt wor- den sei, indem diese nur Annahmen getroffen und diese zu ihren Unguns- ten ausgelegt habe.</w:t>
      </w:r>
    </w:p>
    <w:p>
      <w:r>
        <w:t>D-5008/2022 Seite 7 Der Wegweisungsvollzug sei aufgrund der ihr drohenden Gefahr für Leib und Leben als unzulässig zu erachten, und auch ihre massiven gesund- heitlichen Probleme stünden dem Vollzug entgegen.</w:t>
      </w:r>
    </w:p>
    <w:p>
      <w:r>
        <w:rPr>
          <w:b/>
        </w:rPr>
        <w:t>E. 6.1</w:t>
      </w:r>
    </w:p>
    <w:p>
      <w:r>
        <w:t>Die Beschwerdeführerin vermag mit ihren Vorbringen keine Asylgründe im Sinne von Art. 3 AsylG glaubhaft zu machen. Einerseits stützen sich ihre Vorbringen – wie die Vorinstanz zu Recht erkannt hat – auf die Asylgründe ihres Ehemannes, welche aber vom Gericht als nicht asylrechtlich relevant erachtet werden (vgl. den am selben Tag wie dieses Urteil ergehende Ent- scheid D-3137/2020 vom 23. Oktober 2023). In dieser Hinsicht wird auf die ausführlichen Erwägungen der Vorinstanz verwiesen, welchen sich das Gericht vollumfänglich anschliesst (siehe oben E. 4.1 sowie SEM-Akte A30).</w:t>
      </w:r>
    </w:p>
    <w:p>
      <w:r>
        <w:rPr>
          <w:b/>
        </w:rPr>
        <w:t>E. 6.2</w:t>
      </w:r>
    </w:p>
    <w:p>
      <w:r>
        <w:t>Des Weiteren bleibt in genereller Hinsicht festzustellen, dass der sri- lankische Staat im Hinblick auf Verfolgung durch Privatpersonen grund- sätzlich als schutzwillig und schutzfähig gilt (vgl. etwa Urteile des BVGer E-1467/2020 vom 26. Mai 2023 E. 5.4.3, D-4714/2019 vom 28. März 2022 E. 11.4; E-1631/2020 vom 30. April 2020 E. 6.1). Sofern die Beschwerde- führerin also geltend macht, sie habe bei der Polizei eine Anzeige gegen die unbekannten Belästiger erstattet, ist darauf zu verweisen, dass sie sich – sofern aufgrund dieser Anzeige kein Strafverfahren gegen die unbekann- ten Personen eröffnet worden sein sollte – an die nächst höheren Kontroll- instanzen wenden und bei der Polizei um Schutz ersuchen kann. Über den Verlauf eines allfälligen Strafverfahrens ist den dem Gericht vorliegenden Akten nichts zu entnehmen, und die Beschwerdeführerin führt auch nicht aus, dass sie sich bei den zuständigen Behörden über den Verlauf ihrer Anzeige erkundigt hätte. Schliesslich bleibt in diesem Zusammenhang of- fen, ob es sich bei den unbekannten Personen um Polizisten gehandelt hat oder nicht. Die entsprechenden Ausführungen der Beschwerdeführerin be- ruhen ausschliesslich auf Annahmen und Spekulationen.</w:t>
      </w:r>
    </w:p>
    <w:p>
      <w:r>
        <w:rPr>
          <w:b/>
        </w:rPr>
        <w:t>E. 6.3</w:t>
      </w:r>
    </w:p>
    <w:p>
      <w:r>
        <w:t>Des Weiteren ist festzuhalten, dass sich die vorgebrachte Verfolgung durch lokale Polizeibeamte beziehungsweise Unbekannte – sofern sie wie geschildert stattgefunden hat – nicht auf das gesamte sri-lankische Staats- gebiet erstreckt. So gibt die Beschwerdeführerin an, sie und ihre Tochter hätten bei ihren Verwandten und deren Bekannten Unterschlupf gefunden, wo sie sie von den unbekannten Personen in Ruhe gelassen worden seien. Daraus ist zu schliessen, dass für die Beschwerdeführerin und ihre Tochter</w:t>
      </w:r>
    </w:p>
    <w:p>
      <w:r>
        <w:t>D-5008/2022 Seite 8 eine innerstaatliche Schutzalternative besteht, weshalb die Beschwerde- führerin auch aus diesem Grund auf den Schutz der Schweiz nicht ange- wiesen ist.</w:t>
      </w:r>
    </w:p>
    <w:p>
      <w:r>
        <w:rPr>
          <w:b/>
        </w:rPr>
        <w:t>E. 6.4</w:t>
      </w:r>
    </w:p>
    <w:p>
      <w:r>
        <w:t>Die eingereichten Beweismittel schliesslich vermögen allenfalls die Einreichung einer Anzeige bei der Polizei durch die Beschwerdeführerin – ein Sachverhaltselement, dessen Wahrheitsgehalt weder vom SEM noch vom Gericht bestritten wird – zu belegen. Darüber hinaus kommt – auch hier sind die Ausführungen des SEM zu stützen – dem eingereichten Schreiben des Dorfvorstehers, welches eine der Beschwerdeführerin dro- hende Verfolgung bekräftigt, nur sehr geringer Beweiswert zu, womit es nicht geeignet ist, an den getroffenen Feststellungen im Hinblick auf eine drohende Verfolgung etwas zu ändern.</w:t>
      </w:r>
    </w:p>
    <w:p>
      <w:r>
        <w:rPr>
          <w:b/>
        </w:rPr>
        <w:t>E. 6.5</w:t>
      </w:r>
    </w:p>
    <w:p>
      <w:r>
        <w:t>Zusammenfassend kann festgehalten werden, dass die von der Be- schwerdeführerin angeführten Gründe für ihre Ausreise aus Sri Lanka als asylrechtlich nicht relevant zu erachten sind und den Anforderungen von Art. 3 AsylG nicht zu genügen vermögen. Die Vorinstanz hat ihre Flücht- lingseigenschaft demnach zu Recht verneint und ihr Asylgesuch abgelehnt.</w:t>
      </w:r>
    </w:p>
    <w:p>
      <w:r>
        <w:rPr>
          <w:b/>
        </w:rPr>
        <w:t>E. 7</w:t>
      </w:r>
    </w:p>
    <w:p>
      <w:r>
        <w:t>Der Eventualantrag der Rückweisung der Sache an die Vorinstanz ist ab- zuweisen, zumal nicht ersichtlich ist, inwiefern die Vorinstanz sich auf ei- gene Annahmen gestützt und daraus für die Beschwerdeführerin nachtei- lige Erwägungen getroffen haben soll. Hierzu wird weder Näheres ausge- führt noch ist von Amtes wegen ersichtlich, dass und inwiefern die Erwä- gungen des SEM den verwaltungsrechtlichen Verfahrensbestimmungen nicht genügen sollten. Entsprechend ist davon auszugehen, dass der an- gefochtenen Verfügung richtiger und vollständiger Sachverhalt zu Grunde gelegt wurde. Dass das SEM zu einer anderen Einschätzung der Gefähr- dung der Beschwerdeführerin gelangt als von ihr gefordert, spricht jeden- falls nicht für eine Verletzung des Untersuchungsgrundsatzes (vgl. Art. 12 VwVG), sondern betrifft die materielle Beurteilung der Vorbringen der Be- schwerdeführerin durch das SEM. Diese wird – wie oben ausgeführt – vom Gericht vorbehaltlos gestützt.</w:t>
      </w:r>
    </w:p>
    <w:p>
      <w:r>
        <w:rPr>
          <w:b/>
        </w:rPr>
        <w:t>E. 8.1</w:t>
      </w:r>
    </w:p>
    <w:p>
      <w:r>
        <w:t>Das Urteil im vorliegenden Verfahren ergeht gleichentags wie dasje- nige des Ehemannes der Beschwerdeführerin (Urteil des Bundesverwal- tungsgerichts D-3137/2020 vom 23. Oktober 2023). Dem in der Beschwer- deschrift gestellte Antrag für die Sistierung des vorliegenden Verfahrens</w:t>
      </w:r>
    </w:p>
    <w:p>
      <w:r>
        <w:t>D-5008/2022 Seite 9 bis zum Erlass des Entscheids betreffend den Ehemann wird somit gutge- heissen.</w:t>
      </w:r>
    </w:p>
    <w:p>
      <w:r>
        <w:rPr>
          <w:b/>
        </w:rPr>
        <w:t>E. 8.2</w:t>
      </w:r>
    </w:p>
    <w:p>
      <w:r>
        <w:t>Zudem wurden die Akten des Ehemannes der Beschwerdeführerin (N […]) für die Beurteilung des vorliegenden Falles durch das Gericht bei- gezogen. Auch diesem Antrag wird somit entsprochen.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D-5008/2022 Seite 10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10.2.3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er eine konkrete Gefahr ("real risk") nachweisen oder glaubhaft machen, dass ihr im Fall einer Rückschiebung Folter oder unmenschliche Behandlung drohen würde (vgl. Urteil des EGMR Saadi gegen Italien 28. Februar 2008, Grosse Kammer 37201/06, §§ 124–127 m.w.H.). Die all- gemeine Menschenrechtssituation in Sri Lanka lässt den Wegweisungs- vollzug nach Auffassung des Gerichts zum heutigen Zeitpunkt nicht als un- zulässig erscheinen (vgl. dazu das weiterhin einschlägige Referenzurteil des BVGer E-1866/2015 vom 12. Juli 2016 E. 12.2 sowie statt vieler Urteil BVGer E-1825/2020 vom 4. Juli 2022 E. 9.2.5). Aus den Akten ergeben sich sodann keine konkreten Anhaltspunkte dafür, dass die Beschwerde- führerin bei einer Rückkehr nach Sri Lanka mit beachtlicher Wahrschein- lichkeit Massnahmen zu befürchten hätte, die – wenn überhaupt – über einen so genannten "Background Check" (Befragung und Überprüfung von Tätigkeiten im In- und Ausland) hinausgehen würden, oder dass sie per- sönlich gefährdet wäre. Dies gilt auch unter Berücksichtigung der jüngsten wirtschaftlichen und politischen Entwicklungen in Sri Lanka.</w:t>
      </w:r>
    </w:p>
    <w:p>
      <w:r>
        <w:t>D-5008/2022 Seite 11</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Gemäss Praxis des Bundesverwaltungsgerichts ist der Wegwei- sungsvollzug in die Ost-Provinz (Herkunftsort der Beschwerdeführerin) zu- mutbar, wenn dort ein tragfähiges familiäres oder soziales Beziehungsnetz besteht sowie Aussichten auf eine gesicherte Einkommens- und Wohnsi- tuation bestehen (vgl. Referenzurteil E-1866/2015 vom 15. Juli 2016 E. 13.4). Diese Rechtsprechung hat nach wie vor Gültigkeit (vgl. unter vie- len das Urteil des BVGer D-5178/2022 vom 6. September 2023 E. 9.3.2 m.H.a. Urteil D-3257/2022 vom 16. November 2022 E. 8.4.3 m.H.a. Refe- renzurteil des BVGer E-1866/2015 E. 13.2 ff.). Zwar soll nicht in Abrede gestellt werden, dass sich Sri Lanka derzeit wirtschaftlich in einer sehr schwierigen Krisensituation befindet, welche zu Unruhen und der kurzzei- tigen Ausrufung des Notstandes geführt hat (vgl. hierzu SCHWEIZERISCHE FLÜCHTLINGSHILFE, Sri Lanka: Wirtschaftskrise und Gesundheitsversor- gung, Bern, 13. Juli 2022). Diese Schwierigkeiten betreffen indessen die gesamte sri-lankische Bevölkerung und vermögen angesichts des oben Ausgeführten nicht zur Annahme zu führen, die Beschwerdeführerin werde nach der Rückkehr in eine existenzielle Notlage geraten. Sie wird zusam- men mit ihrem Ehegatten nach Sri Lanka zurückkehren. Ihr gehört ein ei- genes Haus und ihr Ehemann hat langjährige Berufserfahrung und eine solide Ausbildung. Die Beschwerdeführerin stammt demnach aus einem stabilen familiären und sozialen Umfeld, in welches sie zurückkehren kann. Zudem können wirtschaftliche Schwierigkeiten, von welchen die vor Ort ansässige Bevölkerung generell betroffen ist, für sich allein keine konkrete Gefährdung im Sinne von Art. 83 Abs. 4 AIG darstellen (vgl. EMARK 2005 Nr. 24 E. 10.1 S. 215).</w:t>
      </w:r>
    </w:p>
    <w:p>
      <w:r>
        <w:rPr>
          <w:b/>
        </w:rPr>
        <w:t>E. 10.3.3</w:t>
      </w:r>
    </w:p>
    <w:p>
      <w:r>
        <w:t>Die Beschwerdeführerin macht gesundheitliche Vorbringen geltend, welche gegen die Zumutbarkeit des Wegweisungsvollzugs sprächen. Sie reichte diesbezüglich auf Beschwerdeebene ein ärztliches Zeugnis ein (Beschwerdebeilage 3), gemäss welchem sie eine Eileiterschwangerschaft erlitt und deswegen ein operativer Eingriff habe vorgenommen werden müssen. In dieser Hinsicht ist in den Akten der Vorinstanz zudem ein Arzt-</w:t>
      </w:r>
    </w:p>
    <w:p>
      <w:r>
        <w:t>D-5008/2022 Seite 12 bericht von Dr. med. G._______ vom 16. September 2022 vorhanden be- treffend eine unerwünschte Schwangerschaft und den Verdacht auf einen Spontanabort (SEM-Akte A24). In den Befragungen der Vorinstanz machte sie zudem geltend, dass es ihr psychisch nicht gut gehe, sie nicht schlafen könne und wegen ihrer Kopfschmerzen auf Medikamente angewiesen sei (A20 F5, F12 ff., F97 f.). Diese gesundheitlichen Vorbringen vermögen nicht zur Unzumutbarkeit des Wegweisungsvollzugs zu führen, da davon auszugehen ist, dass die Beschwerdeführerin sowohl ihre geltend gemach- ten psychischen Beschwerden als auch ihre körperlichen Beeinträchtigun- gen wie Kopfschmerzen und Schlafstörungen – falls weiterhin notwendig – auch in ihrem Heimatstaat behandeln lassen kann (vgl. hierzu beispiels- weise Urteil des BVGer D-965/2020 vom 9. Juni 2023 E. 9.3.7).</w:t>
      </w:r>
    </w:p>
    <w:p>
      <w:r>
        <w:rPr>
          <w:b/>
        </w:rPr>
        <w:t>E. 10.3.4</w:t>
      </w:r>
    </w:p>
    <w:p>
      <w:r>
        <w:t>Vorliegend sprechen – mit Verweis auf die zutreffenden Ausführun- gen der Vorinstanz – keine individuellen Gründe gegen einen Wegwei- sungsvollzug. Nach dem Gesagten erweist sich der Vollzug der Wegwei- sung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der Beschwer- deführerin aufzuerlegen (Art. 63 Abs. 1 VwVG; Art. 1-3 des Reglements vom 21. Februar 2008 über die Kosten und Entschädigungen vor dem Bun- desverwaltungsgericht [VGKE, SR 173.320.2]). Da ihr jedoch mit Instrukti- onsverfügung vom 15. März 2023 die unentgeltliche Prozessführung ge-</w:t>
      </w:r>
    </w:p>
    <w:p>
      <w:r>
        <w:t>D-5008/2022 Seite 13 mäss Art. 65 Abs. 1 VwVG gewährt wurde und den Akten nicht zu entneh- men ist, dass sie nicht mehr bedürftig wäre, sind keine Verfahrenskosten zu erheben.</w:t>
      </w:r>
    </w:p>
    <w:p>
      <w:r>
        <w:rPr>
          <w:b/>
        </w:rPr>
        <w:t>E. 12.2</w:t>
      </w:r>
    </w:p>
    <w:p>
      <w:r>
        <w:t>Der Rechtsvertreter reichte keine Kostennote zu den Akten. Der not- wendige Vertretungsaufwand lässt sich aufgrund der Aktenlage zuverlässig abschätzen, weshalb auf die Einholung einer Honorarnote verzichtet wer- den kann (Art. 14 Abs. 2 in fine VGKE). Der Aufwand ist auf insgesamt 4 Stunden zu beziffern. Nach Praxis des Bundesverwaltungsgerichts wer- den anwaltliche Vertreterinnen und Vertreter mit einem Stundensatz von Fr. 200.– bis Fr. 220.– entschädigt (vgl. Art. 12 i.V.m. Art. 10 Abs. 2 VGKE). Dem Rechtsvertreter ist demnach zulasten der Gerichtskasse ein amtli- ches Honorar von gerundet Fr. 880.– (inkl. Auslagen) zuzusprechen. (Dispositiv nächste Seite)</w:t>
      </w:r>
    </w:p>
    <w:p>
      <w:r>
        <w:t>D-5008/2022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