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D-5005/2015 vom 15. September 2015</w:t>
      </w:r>
    </w:p>
    <w:p>
      <w:r>
        <w:t>Bundesverwaltungsgericht, 2015-09-15, DE</w:t>
      </w:r>
    </w:p>
    <w:p>
      <w:r>
        <w:rPr>
          <w:b/>
        </w:rPr>
        <w:t xml:space="preserve">Quelle: </w:t>
      </w:r>
      <w:r>
        <w:t>https://mcp.opencaselaw.ch/entscheid/bvger_D-5005_2015</w:t>
      </w:r>
    </w:p>
    <w:p>
      <w:r>
        <w:t>FR: TAF D-5005/2015 du 15 septembre 2015</w:t>
      </w:r>
    </w:p>
    <w:p>
      <w:r>
        <w:t>IT: TAF D-5005/2015 del 15 settembre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Mithin ist auf die Beschwerde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4.1</w:t>
      </w:r>
    </w:p>
    <w:p>
      <w:r>
        <w:t>Da in der Beschwerde die Aufhebung der Ziffern 2 und 3 der Verfügung vom 14. Juli 2015 beantragt wird, ist vorliegend der Ausschluss vom Asyl im Sinne von Art. 54 AsylG zu überprüfen. Die vorinstanzliche Feststellung der Flüchtlingseigenschaft ist in Rechtskraft erwachsen.</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 wird bestritten, dass keine Vorfluchtgründe vorliegen würden. So habe die Beschwerdeführerin anlässlich ihrer Befragung und Anhörung ausdrücklich erklärt, sie habe sich im Alter von (...) Jahren entschlossen, sich den PKK-Kämpfern anzuschliessen; dies weil sie kurdischer Ethnie sei, ihr (...) wegen der Unterstützung der PKK mehrmals festgenommen und misshandelt worden sei, die ganze Familie unter ständigem Druck der türkischen Sicherheitskräfte gestanden sei und auch Kinder betroffen gewesen seien, wobei die Beschwerdeführerin den ständigen Druck und Todesdrohungen der türkischen Spezialeinheiten am eigenen Leib erfahren habe. Sie und alle anderen Familienmitglieder seien traumatisiert und hätten in ständiger Angst leben müssen, irgendwann abgeholt, gefoltert oder getötet zu werden. Dabei handle es sich um Vorfluchtgründe. Hinzu komme die Reflexverfolgung wegen ihres (...). Wenn sie beispielsweis damals in die Schweiz geflüchtet wäre, hätte ihr die Vorinstanz mit an Sicherheit grenzender Wahrscheinlichkeit wegen politischer beziehungsweise ethnischer Verfolgung oder zumindest wegen Reflexverfolgung Asyl gewährt. Die Vorinstanz habe die Situation vor dem Weggang der Beschwerdeführerin in die Berge ausgeblendet. Indes habe genau diese Verfolgungssituation die Beschwerdeführerin zur Ausreise aus dem Verfolgerstaat Türkei veranlasst. Es sei nicht nachvollziehbar, dass die Vorinstanz nur die Geschehnisse vor dem Jahr (...) berücksichtige. Deshalb sei davon auszugehen, dass die Feststellung des rechtserheblichen Sachverhalts durch die Vorinstanz unvollständig sei ([...]).</w:t>
      </w:r>
    </w:p>
    <w:p>
      <w:r>
        <w:rPr>
          <w:b/>
        </w:rPr>
        <w:t>E. 5.2.1</w:t>
      </w:r>
    </w:p>
    <w:p>
      <w:r>
        <w:t>Die Überprüfung der Akten ergibt keinerlei Anhaltspunkte dafür, dass der rechtserhebliche Sachverhalt durch die Vorinstanz unvollständig festgestellt worden wäre. Vielmehr lassen die Ausführungen in der Beschwerde im Zusammenhang mit dieser Rüge darauf schliessen, dass damit eine falsche Würdigung der Vorfluchtgründe durch die Vorinstanz beanstandet werden soll.</w:t>
      </w:r>
    </w:p>
    <w:p>
      <w:r>
        <w:rPr>
          <w:b/>
        </w:rPr>
        <w:t>E. 5.2.2</w:t>
      </w:r>
    </w:p>
    <w:p>
      <w:r>
        <w:t>In der Beschwerde wird diesbezüglich auf das in Entscheidungen und Mitteilungen der Schweizerischen Asylrekurskommission (EMARK) 1993 Nr. 6 veröffentlichte Urteil der schweizerischen Asylbehörden verwiesen. Diesem zufolge ist Druck auf die Angehörigen von polizeilich gesuchten politischen Aktivisten ein in der Türkei angewendetes Repressionsmittel (vgl. a.a.O., E. 3 b), wobei für Familienangehörige politisch Verfolgter aus Ländern, welche solche Repressalien gegen Verwandte praktizieren, für die Wahrscheinlichkeit drohender Verfolgung gemäss Art. 3 AsylG beziehungsweise deren Nachweis und die Glaubhaftigkeit erleichterte Voraussetzungen anzunehmen sind (vgl. a.a.O., E. 4). Zudem wird in der Beschwerde auf EMARK 1994 Nr. 5 Bezug genommen. Gemäss diesem Urteil existiert die Sippenhaft als gesetzlich erlaubte Haftbarmachung einer ganzen Sippe beziehungsweise Familie für Vergehen einzelner Angehöriger in der Türkei nicht. Es werden jedoch staatliche Repressalien gegen Familienangehörige von politischen Aktivisten angewendet, was als Reflexverfolgung im Sinne von Art. 3 AsylG relevant ist. Die Wahrscheinlichkeit, Opfer einer Reflexverfolgung im dargelegten Sinne zu werden, ist vor allem gegeben, wenn nach einem flüchtigen Familienmitglied gefahndet wird und die Behörde Anlass zur Vermutung hat, dass jemand mit dem Gesuchten in engem Kontakt steht. Diese Wahrscheinlichkeit erhöht sich, wenn ein nicht unbedeutendes politisches Engagement seitens des Reflexverfolgten für illegale politische Organisationen hinzukommt (vgl. a.a.O.). Dazu ist im Hinblick auf den vorliegend zu beurteilenden Sachverhalt festzuhalten, dass die Beschwerdeführerin, im vorinstanzlichen Verfahren nach ihren Gründen für das Verlassen der Türkei gefragt, im Wesentlichen erklärt hatte, ihr Dorf sei massiv unter Druck gesetzt, ihr (...) unter dem Vorwurf der Unterstützung der PKK wiederholt inhaftiert und misshandelt sowie ihr (...) väterlicherseits unter ungeklärten Umständen umgebracht worden, wobei sie selbst nie festgenommen worden sei, jedoch diese Situation im Dorf mitangesehen und miterlebt habe (vgl. Akten SEM [...]). Aus diesen Aussagen der Beschwerdeführerin lässt sich schliessen, dass es ihr im Sinne der erwähnten Rechtsprechung nicht gelingt, hinsichtlich des Zeitpunkts ihrer Ausreise aus der Türkei die Wahrscheinlichkeit drohender Verfolgung gemäss Art. 3 AsylG beziehungsweise eine Reflexverfolgung (vgl. dazu auch EMARK 2005 Nr. 21 E. 10.2.3 S. 199 f; Bestätigung der Praxis) rechtsgenüglich darzutun. Daran vermag nichts zu ändern, dass sie den Entschluss, die Türkei zu verlassen und sich der PKK anzuschliessen, noch in ihrem Dorf und unter den von ihr geschilderten damaligen Umständen gefasst habe.</w:t>
      </w:r>
    </w:p>
    <w:p>
      <w:r>
        <w:rPr>
          <w:b/>
        </w:rPr>
        <w:t>E. 5.2.3</w:t>
      </w:r>
    </w:p>
    <w:p>
      <w:r>
        <w:t>Zusammenfassend kommt das Bundesverwaltungsgericht zum Schluss, dass die Vorbringen der Beschwerdeführerin betreffend ihre Vorfluchtgründe den Anforderungen an die Asylrelevanz (Art. 3 AsylG) nicht genügen. Es erübrigt sich, auf die weiteren Ausführungen in der Beschwerde im Einzelnen einzugehen, da diese an der vorgenommenen Würdigung des Sachverhalts nichts zu ändern vermögen. Die Vorinstanz hat demnach das Asylgesuch der Beschwerdeführerin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 Wegen des Vorliegens eines subjektiven Nachfluchtgrunds im Sinne von Art. 54 AsylG ordnete das SEM in der angefochtenen Verfügung vom 14. Juli 2015 die vorläufige Aufnahme der Beschwerdeführerin als Flüchtling an (vgl. EMARK 2000 Nr. 16 E. 5a S. 141 f., mit weiteren Hinweisen). Somit erübrigen sich in casu weitere Ausführungen hinsichtlich der Durchführbarkeit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