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D-4997/2017 vom 10. Januar 2020</w:t>
      </w:r>
    </w:p>
    <w:p>
      <w:r>
        <w:t>Bundesverwaltungsgericht, 2020-01-10, IT</w:t>
      </w:r>
    </w:p>
    <w:p>
      <w:r>
        <w:rPr>
          <w:b/>
        </w:rPr>
        <w:t xml:space="preserve">Quelle: </w:t>
      </w:r>
      <w:r>
        <w:t>https://mcp.opencaselaw.ch/entscheid/bvger_D-4997_2017</w:t>
      </w:r>
    </w:p>
    <w:p>
      <w:r>
        <w:t>FR: TAF D-4997/2017 du 10 janvier 2020</w:t>
      </w:r>
    </w:p>
    <w:p>
      <w:r>
        <w:t>IT: TAF D-4997/2017 del 10 gennaio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della LAsi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ha considerato inverosimili ai sensi dell'art. 7 LAsi parte dei motivi d'asilo del richiedente. In particolare, l'autorità ha considerato che l'arresto e la condanna sarebbero stati esposti tardivamente. Il richiedente invero non ne avrebbe fatta menzione nel corso dell'audizione sulle generalità. Dappoi, le allegazioni del richiedente sarebbero state ritenute divergenti poiché contraddittorie in merito al tempo trascorso tra il tentativo di accoltellamento e la sparatoria. Pure incongruenti, sarebbero le allegazioni concernenti le relazioni famigliari dell'interessato e la sua appartenenza clanica. In seguito, la SEM ha ritenuto che i mezzi di prova forniti dal richiedente non sarebbero atti a comprovare i suoi motivi d'asilo poiché sarebbero delle semplici fotocopie e poiché le allegazioni in merito al loro ottenimento non sarebbero attendibili. Infine, i problemi con il patrigno sarebbero inverosimili poiché sarebbero stati fatti valere soltanto nel corso dell'audizione sulle generalità quale unico motivo d'asilo mentre nel corso dell'audizione sui motivi non sarebbero stati neppure menzionati. Per il resto, la situazione di indigenza economica è stata considerata dalla SEM non rilevante ai sensi dell'art. 3 LAsi.</w:t>
      </w:r>
    </w:p>
    <w:p>
      <w:r>
        <w:rPr>
          <w:b/>
        </w:rPr>
        <w:t>E. 4.2</w:t>
      </w:r>
    </w:p>
    <w:p>
      <w:r>
        <w:t>Nel gravame, l'insorgente rileva anzitutto un vizio di procedura per quanto riguarda la mancata assegnazione di una persona di fiducia, essendo egli stato minorenne all'arrivo in Svizzera. Egli conoscerebbe il suo anno di nascita, ma non la data esatta. In seguito, l'interessato contesta l'inverosimiglianza delle sue allegazioni. Segnatamente, egli giustifica la tardività nella menzione della condanna di morte con il fatto che nell'audizione sulle generalità non sarebbe riuscito ad esporla, ma avrebbe capito che ne avrebbe potuto parlare in seguito. L'interprete gli avrebbe infatti detto che avrebbe potuto raccontare tutto in un secondo momento. Per quanto concerne le incongruenze, l'insorgente ammette di essersi a volte confuso, ma nella valutazione andrebbe pure tenuto conto della quantità di dettagli forniti. In seguito, il ricorrente non comprenderebbe il motivo per il quale la SEM non avrebbe considerato veritiere le sue allegazioni in merito all'assenza di rete familiare, di un alloggio e di prospettive lavorative in patria. Infine, per quanto concerne i mezzi di prova forniti, l'interessato non ritiene corretto che agli stessi non sia attribuito alcun rilievo soltanto per il fatto che non siano degli originali. In conclusione, da una valutazione complessiva, le sue allegazioni andrebbero ritenute verosimili.</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Preliminarmente, è d'uopo esaminare la censura del ricorrente secondo cui egli sarebbe stato minorenne al momento dell'arrivo in Svizzera ed avrebbe dunque avuto diritto alla nomina di una persona di fiducia. In sede ricorsuale egli dichiara di essere infatti a conoscenza del suo anno di nascita (il 1998), ma non del giorno e del mese. Orbene, il Tribunale rileva che l'interessato al momento del deposito della domanda d'asilo ha compilato lui stesso il foglio dei dati personali ed inserito la data del (...) (cfr. atto A1/1). In seguito, la SEM ha comunque fatto effettuare un esame radiologico al fine di stimare l'età ossea della mano del richiedente, dal quale è risultata un'età ossea di 19 anni o più (cfr. atto A8/2). In sede d'audizione sulle generalità poi l'autorità inferiore ha mantenuto la data del (...) e l'interessato non l'ha contestata, ma ne ha bensì confermato la correttezza sottoscrivendo il verbale (cfr. verbale 1). Altresì, si rileva a titolo abbondanziale che quand'anche si volesse considerare corretto soltanto l'anno di nascita del ricorrente, al momento dell'audizione sui motivi d'asilo del 9 giugno 2017 egli era comunque già maggiorenne, per il che la SEM non aveva più alcun obbligo di nominargli una persona di fiducia. Di conseguenza, la censura ricorsuale va respinta.</w:t>
      </w:r>
    </w:p>
    <w:p>
      <w:r>
        <w:rPr>
          <w:b/>
        </w:rPr>
        <w:t>E. 7</w:t>
      </w:r>
    </w:p>
    <w:p>
      <w:r>
        <w:t>Passando ora all'analisi dei motivi d'asilo, lo scrivente Tribunale ritiene nella fattispecie che parte delle allegazioni rese dal ricorrente non adempiono alle condizioni di verosimiglianza ai sensi dell'art. 7 LAsi.</w:t>
      </w:r>
    </w:p>
    <w:p>
      <w:r>
        <w:rPr>
          <w:b/>
        </w:rPr>
        <w:t>E. 7.1</w:t>
      </w:r>
    </w:p>
    <w:p>
      <w:r>
        <w:t>Innanzitutto, le dichiarazioni dell''insorgente risultano contraddittorie su punti essenziali. In particolare, egli ha fornito motivi completamente diversi sulle circostanze che l'avrebbero portato all'espatrio. Invero, nel corso della prima audizione il ricorrente ha asserito di essere espatriato unicamente per motivi economici, per crearsi una vita ed un futuro migliori. Alle domande precise del funzionario se ci fossero altri motivi o se avesse mai avuto problemi con le autorità o terze persone in Patria egli ha risposto negativamente (cfr. verbale 1, pag. 7-8). Tuttavia, nel corso dell'audizioni sui motivi d'asilo, l'interessato ha menzionato tutt'altri motivi, ovvero il fatto di essere stato accusato - a torto - di aver ucciso una persona in quanto appartenente ad un clan minoritario e di essere stato condannato per questo motivo alla fucilazione (cfr. verbale 2, D52, D62-D63). Pur essendo vero che, da un lato, le dichiarazioni rilasciate durante l'audizione sulle generalità, considerato il carattere sommario della stessa, hanno valore probatorio più limitato, dall'altro lato va considerato che se determinati avvenimenti - come nella fattispecie - vengono invocati in seguito tra i motivi principali per la richiesta d'asilo, mentre in sede di audizione sommaria non sono stati nemmeno accennati, la contraddizione può essere ritenuta determinante (cfr. Giurisprudenza ed informazioni della Commissione svizzera di ricorso in materia d'asilo [GICRA] 1993 n. 3; sentenze del TAF D-3114/2018 del 28 giugno 2019 consid. 5.1 e D-7078/2018 del 4 dicembre 2019 consid. 6.1.1). Inoltre, la spiegazione fornita dall'interessato - ovvero che gli sarebbe stato detto che avrebbe potuto esporre gli altri motivi nel corso di una seguente audizione e che non ricordava la domanda relativa ai problemi con le autorità (cfr. verbale 2, D98-D99) - non giustifica una siffatta omissione, avendo egli sottoscritto la correttezza del verbale sulle generalità. In seguito, oltre alla tardività, le allegazioni inerenti all'arresto, al procedimento penale ed alla condanna sono incongruenti su punti essenziali. Segnatamente, il ricorrente si è contraddetto sul tempo trascorso tra l'aggressione nella quale sarebbe stato ferito con il coltello e l'episodio nel quale i medesimi aggressori avrebbero tentato di ucciderlo sparandogli ed uccidendo però un altro uomo. Invero, inizialmente egli avrebbe asserito che la sparatoria sarebbe avvenuta il giorno seguente l'aggressione (cfr. verbale 2, D50), mentre in seguito avrebbe indicato che sarebbero trascorsi meno di due mesi ed all'incirca 28 giorni tra un episodio e l'altro (cfr. verbale 2, D93-D94). Non meno contraddittore risultano pure le allegazioni in merito alle udienze. L'insorgente ha dichiarato di essere stato portato in Tribunale il 10 marzo 2015 la prima volta oppure l'ultima volta (cfr. verbale 2, D50, D83). Il racconto del ricorrente circa l'identità della persona uccisa risulta pure discordante. Da una parte egli ha affermato di essere stato condannato per aver ucciso la persona che è stata per sbaglio colpita al suo posto (cfr. verbale 2, D50, D62), mentre dall'altra egli ha dichiarato che i morti sarebbero stati due e che egli non avrebbe assistito all'uccisione della persona per la quale è stato condannato (cfr. verbale 2, D66-D71).</w:t>
      </w:r>
    </w:p>
    <w:p>
      <w:r>
        <w:rPr>
          <w:b/>
        </w:rPr>
        <w:t>E. 7.2</w:t>
      </w:r>
    </w:p>
    <w:p>
      <w:r>
        <w:t>Altresì, i mezzi di prova forniti a sostegno delle sue allegazioni, segnatamente la copia di una sentenza di condanna di morte del "Republic of Somaliland, Higher Court" del 18 marzo 2015 e la copia di un documento del "Somaliland Police Force, Qudha'adher Police Station" del 3 ottobre 2014 che certificherebbe un arresto subito non sono atti a comprovare un'eventuale persecuzione. Invero, al di là del fatto che siano stati forniti soltanto in copia, risultano esservi importanti indizi di falsificazione. In particolare, il documento dell'arresto stato rilasciato dalla polizia del Somaliland, riporta uno stemma nell'intestazione che non corrisponde alla "Somaliland Police Force", ma bensì alla Somali Police Force, le forze di polizia della Somalia (cfr. Somaliland Standard, Somaliland: Police officer stoned to death, two others injured near Burao, 17.06.2019, &lt; https://somalilandstandard.com/somaliland-police-officer-stoned-to-death-two-others-injured-near-burao/ &gt;, consultato il 08.11.2019; Somaliland, Human Rights Centre calls on Somaliland government to stop indefinite imprisonment without a judicial process, 27.08.2019, &lt; https://www.somaliland.com/news/somaliland/human-rights-centre-calls-on-somaliland-government-to-stop-indefinite-imprisonment-without-a-judicial-process/ &gt;, consultato il 08.11.2019; UN Police (UNPOL), Towards a Federated Police System in Somalia, undatiert, &lt; https://issat.dcaf.ch/fre/download/131042/2680352/Federated%20Police%20System_revised.pdf &gt;, consultato il 08.11.2019). Il Somaliland costituisce uno stato di fatto non riconosciuto che dispone di una propria amministrazione e valuta, di proprie forze di sicurezza e polizia (Scott Pegg (Indiana University-Purdue University Indianapolis) / Michael Walls (University College London) / Washington Post, Somaliland votes next week. Its biggest challenges come after the election, 10.11.2017, &lt; https://www.washingtonpost.com/news/monkey-cage/wp/2017/11/10/somalilands-presidential-elections-take-place-oct-13-after-many-delays/?utm_term=.8a2edbddb394 &gt;, consultato il 08.11.2019). In seguito, per quanto riguarda la sentenza di condanna della corte suprema somala, il Tribunale rileva anzitutto che non risulta per nulla chiaro il motivo per il quale il ricorrente sia stato giudicato direttamente dall'organo giudiziario più alto del Somaliland invece di essere giudicato in prima istanza da una corte regionale (Regional Court) e poi da una corte di appello regionale in seconda istanza (Regional Appeal Court), come previsto dall'organizzazione giudiziaria del Somaliland. Invero la Corte Suprema risulta essere competente per trattare ricorsi contro le corti di appello, questioni giurisdizionali tra i tribunali, cause amministrative relative alle decisioni finali degli enti pubblici, reclami relativi a risultati presidenziali e parlamentari delle elezioni generali e per rivedere le proprie decisioni (cfr. The Somaliland Supreme [&amp; Constitutional] Court, &lt; http://www.somalilandlaw.com/somaliland_supreme_court.html ; Somaliland Judicial System - Overview, http://www.somalilandlaw.com/somaliland_judicial_system.html#SLCourtsHeading &gt;, entrambi consultati il 08.11.2019). Un altro indizio che fa sorgere dei sospetti quanto all'originalità del documento risulta essere il nome della corte suprema riportato in lingua inglese sulla sentenza, ovvero Higher Court. Orbene, pare quantomeno dubbio che l'insegna sull'edificio del tribunale riporti "Supreme Court" mentre sulle sentenze venga indicato "Higher Court" (cfr. SOMALILAND OO SOO GUNAANADAY DACWADA SADEX QOYS OO ISKU HAYSTAY ILMO YAR KANA SOO JEEDA LAASCAANOOD, 18.02.2017, &lt; https://www.laascaanood.com/daawo-maxkamada-sare-ee-somaliland-oo-soo-gunaanaday-dacwada-sadex-qoys-oo-isku-haystay-ilmo-yar-kana-soo-jeeda-laascaanood/ &gt;, consultato il 08.11.2019).</w:t>
      </w:r>
    </w:p>
    <w:p>
      <w:r>
        <w:rPr>
          <w:b/>
        </w:rPr>
        <w:t>E. 7.3</w:t>
      </w:r>
    </w:p>
    <w:p>
      <w:r>
        <w:t>Infine, non giova neppure alla credibilità generale del ricorrente il fatto che egli abbia pure fornito dichiarazioni fortemente contraddittorie in merito alla sua appartenenza clanica ed in merito alle sue relazioni famigliari. Egli ha inizialmente dichiarato di appartenere alla famiglia clanica dei Darood (cfr. verbale 1, pag. 3), salvo poi dichiarare di appartenere ai Reer Dalal Guuled (cfr. verbale 3, D24 e D36). In seguito, egli ha pure riferito dei cognomi completamenti diversi per la madre e lo zio, affermando una volta C._______ (cfr. verbale 1, pag. 3; verbale 2, D39) e una volta D._______ o E._______ (cfr. verbale 3, D48 e D67). Altresì, il ricorrente ha fornito dichiarazioni incongruenti circa i contatti con i famigliari in Patria. L'interessato ha infatti in un primo tempo dichiarato di avere avuto contatti soltanto con la madre e nessun altro famigliare, mentre in seguito ha allegato aver avuto contatti anche con lo zio (cfr. verbale 2, D12; verbale 3, D57).</w:t>
      </w:r>
    </w:p>
    <w:p>
      <w:r>
        <w:rPr>
          <w:b/>
        </w:rPr>
        <w:t>E. 7.4</w:t>
      </w:r>
    </w:p>
    <w:p>
      <w:r>
        <w:t>Alla luce delle suesposte considerazioni, la versione dei fatti resa dal ricorrente non potrebbe essere considerata nel complesso in preponderanza veritiera.</w:t>
      </w:r>
    </w:p>
    <w:p>
      <w:r>
        <w:rPr>
          <w:b/>
        </w:rPr>
        <w:t>E. 8</w:t>
      </w:r>
    </w:p>
    <w:p>
      <w:r>
        <w:t>Per il resto, come a giusto titolo ritenuto dall'autorità inferiore nella decisione impugnata, le motivazioni economiche avanzate dall'insorgente, non adempiono manifestamente alle condizioni dell'art. 3 LAsi e non sono dunque rilevanti in materia d'asilo.</w:t>
      </w:r>
    </w:p>
    <w:p>
      <w:r>
        <w:rPr>
          <w:b/>
        </w:rPr>
        <w:t>E. 9</w:t>
      </w:r>
    </w:p>
    <w:p>
      <w:r>
        <w:t>In conclusione, visto quanto precede, le allegazioni del ricorrente non soddisfano le condizioni di verosimiglianza poste dall'art. 7 LAsi e nemmeno quelle di rilevanza ai sensi dell'art. 3 LAsi. In virtù di quanto sopra esposto, il ricorso in materia di riconoscimento della qualità di rifugiato e di concessione dell'asilo non merita tutela e la decisione impugnata va confermata.</w:t>
      </w:r>
    </w:p>
    <w:p>
      <w:r>
        <w:rPr>
          <w:b/>
        </w:rPr>
        <w:t>E. 10.1</w:t>
      </w:r>
    </w:p>
    <w:p>
      <w:r>
        <w:t>Nella propria decisione la SEM, dopo aver pronunciato l'allontanamento del richiedente, ha considerato l'esecuzione dello stesso ammissibile, ragionevolmente esigibile e possibile.</w:t>
      </w:r>
    </w:p>
    <w:p>
      <w:r>
        <w:rPr>
          <w:b/>
        </w:rPr>
        <w:t>E. 10.2</w:t>
      </w:r>
    </w:p>
    <w:p>
      <w:r>
        <w:t>Nel gravame, l'insorgente avversa anche tale assunto. L'esecuzione dell'allontanamento andrebbe ritenuta perlomeno non ragionevolmente esigibile. Egli rischierebbe infatti di ritrovarsi senza alloggio, senza lavoro e senza una rete sociale di sostegno.</w:t>
      </w:r>
    </w:p>
    <w:p>
      <w:r>
        <w:rPr>
          <w:b/>
        </w:rPr>
        <w:t>E. 11</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12</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Il principio inquisitorio è però limitato dall'obbligo di collaborare delle parti (art. 13 PA ed art. 8 LAsi; cfr. DTAF 2014/12 consid. 5.9; Christoph Auer/Anja Martina Binder, in: Auer/Müller/Schindler [ed.], Kommentar zum Bundesgesetz über das Verwaltungsverfahren VwVG, 2a ed. 2019, ad art. 12 PA, n. 9 e ad art. 13 PA n. 1). Trattasi di un tipico caso di applicazione dell'art. 13 cpv. 1 lett. c PA. In particolare, quando l'interessato, con il suo comportamento, impedisce all'autorità di accertare se egli risulti esposto o meno a pericolo nel paese di provenienza, l'esecuzione dell'allontanamento non può essere evitata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tra le tante sentenza del Tribunale D-4895/2013 del 21 novembre 2013 consid. 7.2). Non è infatti compito delle autorità elvetiche competenti in materia d'asilo ricercare, in assenza di indicazioni da parte del richiedente, eventuali ostacoli riguardanti un paese ipotetico. Nello stesso senso, nulla osta all'esecuzione dell'allontanamento quando la stessa è subordinata al soddisfacimento di determinati fattori favorevoli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D-3174/2015 del 17 novembre 2016 consid. 6.3.4 e E-5724/2014 del 30 marzo 2014 consid. 4.3). Va tuttavia riservato che per ammettere una violazione dell'obbligo di collaborare si presuppone che la collaborazione sia possibile e che possa essere ragionevolmente esatta, conto tenuto delle circostanze. Inoltre, lo stato di fatto determinante in materia di esecuzione dell'allontanamento è quello che esiste al momento in cui si statuisce (cfr. DTAF 2009/51 consid. 5.4).</w:t>
      </w:r>
    </w:p>
    <w:p>
      <w:r>
        <w:rPr>
          <w:b/>
        </w:rPr>
        <w:t>E. 13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il suo Paese d'origine è dunque ammissibile sotto l'aspetto dell'art. 5 cpv. 1 LAsi e dell'art. 33 della Convenzione sullo statuto dei rifugiati del 28 luglio 1952 (Conv. rifugiati, RS 0.142.30). Altresì, nemmeno la situazione dei diritti umani in Somaliland permette di ritenere inammissibile l'esecuzione dell'allontanamento. In siffatte circostanze non v'è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14</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14.1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14.2</w:t>
      </w:r>
    </w:p>
    <w:p>
      <w:r>
        <w:t>Il Tribunale ha stabilito che l'esecuzione dell'allontanamento verso il nord della Somalia ed in particolare verso il Somaliland ed il Puntland, a determinate condizioni può essere considerata ragionevolmente esigibile. È tuttavia necessario che la persona in questione possegga degli stretti legami con una delle menzionate regioni e possa provvedere al proprio sostentamento o contare sul sostegno effettivo di un clan; la sola appartenenza a uno dei clan principali insediati nella regione non è sufficiente (cfr. GICRA 2006 n. 2 consid. 7).</w:t>
      </w:r>
    </w:p>
    <w:p>
      <w:r>
        <w:rPr>
          <w:b/>
        </w:rPr>
        <w:t>E. 14.3</w:t>
      </w:r>
    </w:p>
    <w:p>
      <w:r>
        <w:t>Nel caso in esame l'interessato ha dichiarato di aver vissuto dall'età di tre anni all'espatrio ad Hargeysa nel Somaliland (cfr. verbale 1, pag. 4), di aver lavorato come posatore di piastrelle per due anni e più (cfr. verbale 2, D54-D56) e di aver affittato una camera per dormire (cfr. verbale 2, D67). Come tuttavia già rilevato in precedenza (cfr. supra consid. 6.3), il ricorrente ha fornito delle dichiarazioni manifestamente inverosimili poiché contraddittorie in merito alla sua appartenenza clanica ed in merito alla rete sociale in Patria. Così facendo, egli ha violato il suo obbligo di collaborare ed ha posto l'autorità inferiore nell'impossibilità di determinare se egli disponga o meno di una rete sociale ad Hargeysa e se possa contare sul sostegno di un clan. Non può infatti essere compito dell'autorità d'asilo dipanarsi in valutazioni a valore ipotetico in merito all'esistenza di fattori favorevoli. Si può ad ogni modo partire dal presupposto che dietro le varie versioni contraddittorie siano identificabili alcuni elementi che lascino presagire la presenza di un sostegno economico nel Somaliland. Il ricorrente è infatti già stato in grado (pur essendo ai tempi minorenne) di trovare un lavoro, di sostentarsi e di affittare una stanza dove dormire senza ritrovarsi in una situazione di minaccia esistenziale. Non vi è pertanto motivo di dubitare quanto al fatto che egli sia in misura di farlo anche in una seconda occasione, conto tenuto della precedente esperienza maturata.</w:t>
      </w:r>
    </w:p>
    <w:p>
      <w:r>
        <w:rPr>
          <w:b/>
        </w:rPr>
        <w:t>E. 14.4</w:t>
      </w:r>
    </w:p>
    <w:p>
      <w:r>
        <w:t>In considerazione di quanto precede, l'esecuzione dell'allontanamento è ragionevolmente esigibile nella fattispecie (art. 83 cpv. 4 LStr in relazione all'art. 44 LAsi).</w:t>
      </w:r>
    </w:p>
    <w:p>
      <w:r>
        <w:rPr>
          <w:b/>
        </w:rPr>
        <w:t>E. 15</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16</w:t>
      </w:r>
    </w:p>
    <w:p>
      <w:r>
        <w:t>Di conseguenza, anche in materia di esecuzione dell'allontanamento la decisione dell'autorità inferiore va confermata.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17</w:t>
      </w:r>
    </w:p>
    <w:p>
      <w:r>
        <w:t>Avendo il Tribunale statuito nel merito del ricorso, la domanda di esenzione dal versamento di un anticipo equivalente alle presunte spese processuali è divenuta senza oggetto;</w:t>
      </w:r>
    </w:p>
    <w:p>
      <w:r>
        <w:rPr>
          <w:b/>
        </w:rPr>
        <w:t>E. 18</w:t>
      </w:r>
    </w:p>
    <w:p>
      <w:r>
        <w:t>Ritenute le allegazioni ricorsuali sprovviste di probabilità di esito favorevole, la domanda di assistenza giudiziaria, nel senso della dispensa dal pagamento delle spese processuali, è respinta (art. 65 cpv. 1 PA).</w:t>
      </w:r>
    </w:p>
    <w:p>
      <w:r>
        <w:rPr>
          <w:b/>
        </w:rPr>
        <w:t>E. 19</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20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