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D-4987/2012 vom 15. November 2012</w:t>
      </w:r>
    </w:p>
    <w:p>
      <w:r>
        <w:t>Bundesverwaltungsgericht, 2012-11-15, DE</w:t>
      </w:r>
    </w:p>
    <w:p>
      <w:r>
        <w:rPr>
          <w:b/>
        </w:rPr>
        <w:t xml:space="preserve">Quelle: </w:t>
      </w:r>
      <w:r>
        <w:t>https://mcp.opencaselaw.ch/entscheid/bvger_D-4987_2012</w:t>
      </w:r>
    </w:p>
    <w:p>
      <w:r>
        <w:t>FR: TAF D-4987/2012 du 15 novembre 2012</w:t>
      </w:r>
    </w:p>
    <w:p>
      <w:r>
        <w:t>IT: TAF D-4987/2012 del 15 novembre 2012</w:t>
      </w:r>
    </w:p>
    <w:p>
      <w:pPr>
        <w:pStyle w:val="Heading2"/>
      </w:pPr>
      <w:r>
        <w:t>Regeste</w:t>
      </w:r>
    </w:p>
    <w:p>
      <w:r>
        <w:t>Vollzug der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Revisionsgesuch ist insbesondere der angerufene Revisionsgrund anzugeben und die Rechtzeitigkeit des Revisionsbegehrens im Sinne von Art. 124 BGG darzutun.</w:t>
      </w:r>
    </w:p>
    <w:p>
      <w:r>
        <w:rPr>
          <w:b/>
        </w:rPr>
        <w:t>E. 2.2</w:t>
      </w:r>
    </w:p>
    <w:p>
      <w:r>
        <w:t>Die Gesuchstellerinnen machen den Revisionsgrund des nachträglich entscheidenden Beweismittels (Art. 123 Abs. 2 Bst. a BGG) geltend und zeigen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Die Gesuchstellerinnen machen in ihren Eingaben geltend, das Bundesverwaltungsgericht stelle in seinem Urteil vom 20. August 2012 nicht in Frage, dass die Gesuchstellerinnen aus dem Vanni-Gebiet stammen würden. Zum Zeitpunkt der Beschwerdeeinreichung am 7. Oktober 2010 habe noch die alte Lageeinschätzung gegolten, wonach ein Wegweisungsvollzug für Asylsuchende aus dem Norden und Osten von Sri Lanka unzumutbar sei. Diese Ausgangssituation sei durch das Grundsatzurteil BVGE 2011/24 dahingehend geändert worden, dass nun die Rückkehr in den Osten und Norden des Landes für zumutbar erachtet werde, eine Rückkehr von Personen aus dem Vanni-Gebiet aber nur zumutbar sei, wenn diese ausserhalb dieses Gebiets ein Beziehungsnetz besässen. Wäre der Entscheid somit noch vor dieser Praxisänderung gefällt worden, wären die Gesuchstellerinnen zumindest vorläufig aufgenommen worden. Die Gesuchstellerinnen hätten im Zeitpunkt der Replik (17. Oktober 2011) keinen Grund zur Annahme gehabt, dass eine Wegweisung ohne eingehende Prüfung der Umstände und nochmalige Gelegenheit zur Stellungnahme als zumutbar bezeichnet werden könnte. In seinem Urteil vom 20. August 2012 gehe das Gericht dann aber vorschnell und ohne weitere Abklärungen davon aus, dass eine zumutbare Aufenthaltsalternative vorliege, was eine Verletzung des rechtlichen Gehörs darstelle. Die Gesuchstellerinnen würden aber auch - entgegen der Feststellung im Urteil vom 20. August 2012 - über kein Beziehungsnetz in Sri Lanka verfügen, da die Gesuchstellerin A._______ zu ihrer Schwester und ihrem Bruder, die noch in Sri Lanka leben würden, seit Langem keinen Kontakt mehr pflege und drei ihrer Töchter sowie ein Bruder des Ehemannes (D._______) mittlerweile in Indien leben würden. Die indische Wohnsitzbestätigung der drei Töchter und die Beweisofferte, den in Indien wohnhaften Onkel beim Schweizer Konsulat in Chennai vorsprechen zu lassen, würden dies rechtsgenüglich belegen. Überdies stehe der schlechte Gesundheitszustand des Ehemannes von A._______ einem Wegweisungsvollzug entgegen, insbesondere, da dieser nicht in der Lage wäre, die Gesuchstellerinnen in der Heimat zu unterstützen.</w:t>
      </w:r>
    </w:p>
    <w:p>
      <w:r>
        <w:rPr>
          <w:b/>
        </w:rPr>
        <w:t>E. 3.3</w:t>
      </w:r>
    </w:p>
    <w:p>
      <w:r>
        <w:t>Die Beantwortung der Frage, ob die vom 13. September 2012 datierende Wohnsitzbestätigung, welche somit nach dem Beschwerdeentscheid entstanden ist, überhaupt einen zulässigen Revisionsgrund darstellt, kann - wie die nachfolgenden Erwägungen zeigen werden - offenbleiben.</w:t>
      </w:r>
    </w:p>
    <w:p>
      <w:r>
        <w:rPr>
          <w:b/>
        </w:rPr>
        <w:t>E. 3.4</w:t>
      </w:r>
    </w:p>
    <w:p>
      <w:r>
        <w:t>Im vorliegenden Fall ist nicht ersichtlich wieso diese Beweismittel - insbesondere der Austrittsbericht (...) 2012 - nicht bereits im Beschwerdeverfahren gegen die Verfügungen des BFM vom 6. September 2010 hätten vorgebracht werden können. Diese Frage kann jedoch offen bleiben, da die Erheblichkeit der neu vorgebrachten Beweismittel zu verneinen ist. Dieses Erfordernis verlangt, dass die neu angerufenen Beweismittel zu einem anderen Entscheid hätten führen können. Neue Beweismittel sind mithin dann "entscheidend", wenn sie zur Annahme der Unzumutbarkeit des Wegweisungsvollzugs hätten führen können. Aus dem Gesundheitszustand des Ehemannes lässt sich nichts zugunsten der Gesuchstellerinnen ableiten, da dieser Umstand in der Beurteilung der Zumutbarkeit des Wegweisungsvollzugs im vorliegenden Fall keine Relevanz aufweist. Gleiches gilt für die Wohnsitzbestätigung. Selbst unter der Annahme, diese entspreche der Wahrheit, vermag sie lediglich zu beweisen, dass die Gesuchstellerinnen in Jaffna über keine Familienangehörigen verfügen. Allerdings besteht weiterhin eine Aufenthaltsalternative in Colombo (vgl. Urteil des Bundesverwaltungsgerichts D-7284/2010, D-7240/2010, D-7286/2010 vom 20. August 2012 E. 8.3.6). Die bereits im Beschwerdeverfahren vorgebrachte Behauptung, dass der Onkel nicht mehr in Colombo leben würde, ist im Revisionsverfahren nicht erneut zu würdigen. Diesbezüglich wurden mit dem Revisionsbegehren auch keine neuen Beweismittel eingereicht, so dass diese Parteibehauptung, selbst in Verbindung mit einer Beweisofferte, keinen gültigen Revisionsgrund darstellt. Die lediglich appellatorische Kritik, das Bundesverwaltungsgericht sei in seinem Entscheid vom 20. August 2012 fälschlicherweise von einem tragfähigen Beziehungsnetz ausgegangen, stellt keinen Revisionsgrund dar. Lediglich am Rande kann noch erwähnt werden, dass bereits unter der alten Praxis die Annahme einer Aufenthaltsalternative im Grossraum Colombo die Zumutbarkeit des Wegweisungsvollzugs zu begründen vermochte (vgl. BVGE 2008/2 E. 7.6.2 S. 21 f.).</w:t>
      </w:r>
    </w:p>
    <w:p>
      <w:r>
        <w:rPr>
          <w:b/>
        </w:rPr>
        <w:t>E. 4</w:t>
      </w:r>
    </w:p>
    <w:p>
      <w:r>
        <w:t>Zusammenfassend ist festzuhalten, dass keine revisionsrechtlich relevanten Gründe dargetan sind. Das Gesuch um Revision des Urteils des Bundesverwaltungsgerichts D-7284/2010, D-7240/2010, D-7286/2010 vom 20. August 2012 ist demzufolge abzuweisen.</w:t>
      </w:r>
    </w:p>
    <w:p>
      <w:r>
        <w:rPr>
          <w:b/>
        </w:rPr>
        <w:t>E. 5</w:t>
      </w:r>
    </w:p>
    <w:p>
      <w:r>
        <w:t>Bei diesem Ausgang des Verfahrens sind die Kosten von Fr. 1'600.- den Gesuchstellerinnen aufzuerlegen (Art. 37 VGG i.V.m. Art. 63 Abs. 1 VwVG; Art. 1 - 3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