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D-4986/2011 vom 10. Dezember 2012</w:t>
      </w:r>
    </w:p>
    <w:p>
      <w:r>
        <w:t>Bundesverwaltungsgericht, 2012-12-10, DE</w:t>
      </w:r>
    </w:p>
    <w:p>
      <w:r>
        <w:rPr>
          <w:b/>
        </w:rPr>
        <w:t xml:space="preserve">Quelle: </w:t>
      </w:r>
      <w:r>
        <w:t>https://mcp.opencaselaw.ch/entscheid/bvger_D-4986_2011</w:t>
      </w:r>
    </w:p>
    <w:p>
      <w:r>
        <w:t>FR: TAF D-4986/2011 du 10 décembre 2012</w:t>
      </w:r>
    </w:p>
    <w:p>
      <w:r>
        <w:t>IT: TAF D-4986/2011 del 10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11. August 2011 wurde, soweit sie die Fragen der Flüchtlingseigenschaft, des Asyls und der Anordnung der Wegweisung betrifft (Ziffern 1 - 3 des Dispositivs), nicht angefochten und erwuchs deshalb mit Ablauf der Beschwerdefrist in Rechtskraft. Deshalb bildet im Folgenden lediglich die Frage, ob das BFM den Vollzug der Wegweisung zu Recht angeordnet hat oder ob anstelle des Vollzugs die vorläufige Aufnahme anzuordnen ist (Art. 44 Abs. 2 AsylG i.V.m. Art. 83 des Bundes­gesetzes vom 16. Dezember 2005 über die Ausländerinnen und Aus­länder [AuG, SR 142.20]), Gegenstand des Beschwerdeverfahrens.</w:t>
      </w:r>
    </w:p>
    <w:p>
      <w:r>
        <w:rPr>
          <w:b/>
        </w:rPr>
        <w:t>E. 4.1</w:t>
      </w:r>
    </w:p>
    <w:p>
      <w:r>
        <w:t>Der Beschwerdeführer macht in formeller Hinsicht geltend, dass eine Verletzung der Begründungspflicht vorliege, da es die Vorinstanz unter­lassen habe, die relevanten Herkunftsländerinformationen, auf wel­che sie ihren Entscheid stütze, offenzulegen. Das BFM sei deshalb an­zuweisen, sämtliche Herkunftsländerinformationen, auf welche es sei­nen Entscheid stütze, mittels Quellenangaben offenzulegen. So habe es auch nicht präzisiert, welche Passagen im zitierten UNHCR-Be­richt zu welchen Einschätzungen im angefochtenen Entscheid geführt hät­ten. Zudem sei sie in der ange­fochtenen Verfügung ohne ausreichende Begründung von der langjähri­gen Praxis des Bundesverwaltungsgerichts abgewichen. Daher sei die angefochtene Verfügung im Ausmass der Anfechtung zur Neubeurtei­lung der Sache an das BFM zurückzuweisen.</w:t>
      </w:r>
    </w:p>
    <w:p>
      <w:r>
        <w:rPr>
          <w:b/>
        </w:rPr>
        <w:t>E. 4.2</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BVGE 2011/37 E. 5.4. S. 812 f.;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4.3.1</w:t>
      </w:r>
    </w:p>
    <w:p>
      <w:r>
        <w:t>Das BFM hat dem Bundesverwaltungsgericht am 22. Dezember 2011 die verlangte Zusammenfassung der Ergebnisse einer Dienstreise nach Sri Lanka übermittelt. Davon wurde dem Be­schwerdeführer unter Fristansetzung zur Beschwerdeergänzung mit Zwi­schenverfügung vom 23. März 2012 eine Kopie übermittelt, nachdem das BFM im Rahmen der Vernehmlassung ausdrücklich auf die Erkenntnisse aus einem Augenschein vor Ort hingewiesen hatte. Mit Ein­gabe seines Rechtsvertreters vom 10. April 2012 nahm der Beschwerde­führer zum Dienstreisebericht des BFM Stellung. Demnach ist dem Anspruch des Beschwerdeführers auf rechtliches Gehör, soweit die­ser als verletzt zu erkennen war, im Rahmen des Instruktionsverfah­rens in ausreichender Weise Genüge getan worden. Der genannte Ver­fahrens­mangel ist demnach als geheilt zu erachten.</w:t>
      </w:r>
    </w:p>
    <w:p>
      <w:r>
        <w:rPr>
          <w:b/>
        </w:rPr>
        <w:t>E. 4.3.2</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Hinsichtlich der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4.3.3</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rela­tiv kurz nach Erlass der angefochtenen Verfügung in seinem Urteil E-6220/2006 vom 27. Oktober 2011 (vgl. BVGE 2011/24) zur aktuellen Situa­tion in Sri Lanka geäussert und eine Anpassung seiner in BVGE 2008/2 publizierten Praxis vorgenommen, welche mit derjenigen des BFM im Ergebnis weitgehend übereinstimmt (vgl. E. 7.2 nachstehend). In­wiefern das BFM mit seinem Vorgehen die Begründungspflicht verletzt ha­ben soll, ist in Anbetracht der insgesamt ausgewogenen und differenzier­ten Erwägungen in der angefochtenen Verfügung ohnehin nicht ersichtlich.</w:t>
      </w:r>
    </w:p>
    <w:p>
      <w:r>
        <w:rPr>
          <w:b/>
        </w:rPr>
        <w:t>E. 4.4</w:t>
      </w:r>
    </w:p>
    <w:p>
      <w:r>
        <w:t>Bei dieser Sachlage besteht somit keine Veranlassung, die angefoch­tene Verfügung aus formellen Gründen aufzuheben, weshalb das Begeh­ren des Beschwerdeführers, der Entscheid vom 11. August 2011 sei in den Dispositivpunkten 4 und 5 aufzuheben und zur Neubeur­teilung der Sache an das BFM zurückzuweisen, abzuweisen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6.3.2</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6.3.3</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6.3.4</w:t>
      </w:r>
    </w:p>
    <w:p>
      <w:r>
        <w:t>Eine entsprechende konkrete Gefahr, die dem Beschwerdeführer dro­hen könnte, ist jedoch nicht ersichtlich. So wurde bereits rechts­kräftig festgestellt, dass die Asylvorbrin­gen des Beschwerdeführers nicht auf begründete Furcht vor ernst­haften Nachteilen im Falle der Rückkehr ins Heimatland schliessen lassen. Vielmehr erwog die Vorinstanz in ihrer Verfügung vom 11. August 2011, dass die angebliche Furcht, die Festnahme und die Suche nach ihm im Jahr 2010 nicht glaubhaft und die Festnahmen vor 2007 nicht asylrelevant seien. Den Akten seien keine Hinweise zu entnehmen, dass der Beschwerdeführer sich für die LTTE engagiert habe, und seine Schilderungen enthielten auch keine Hinweise, dass die sri-lankischen Behörden heute - rund zwei Jahre nach Beendigung des Bürgerkriegs - ein ernsthaftes Interesse daran haben sollten, gerade ihn zu verfolgen, dies auch angesichts seines inexistenten politischen Profils. Diese Qualifikation blieb - bezogen auf den Asylpunkt - unan­gefochten. Ferner lassen sich den Akten keine konkreten Hin­weise auf eine drohende menschenrechtswid­rige Behandlung des Be­schwerdeführers wegen ihm unterstellter LTTE-Nähe entnehmen. Schliesslich erfüllt der Beschwerdeführer auch keines der weiteren oben genannten Risikoprofile, sodass auf keine relevante Gefährdung im ak­tuellen Zeitpunkt im Hinblick auf die Zulässigkeit des Vollzugs geschlossen werden könnte. Dass bei abgewiesenen Asylsuchen­den bei der Wiedereinreise im Sinne der Be­schwer­devor­bringen eine gewisse Ge­fährdung besteht, ist aufgrund der skizzierten Rechtsprechung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hätte glaubhaft ma­chen können, sie seien aktuell ernsthaft gefährdet.</w:t>
      </w:r>
    </w:p>
    <w:p>
      <w:r>
        <w:rPr>
          <w:b/>
        </w:rPr>
        <w:t>E. 6.4</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7.3</w:t>
      </w:r>
    </w:p>
    <w:p>
      <w:r>
        <w:t>Der Beschwerdeführer macht geltend, aus Y._______ (Jaffna-Distrikt) zu stammen. Eine Rück­kehr dorthin ist nach aktueller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7.4</w:t>
      </w:r>
    </w:p>
    <w:p>
      <w:r>
        <w:t>Der junge und - soweit aktenkundig - gesunde Beschwerdeführer lebte um die dreissig Jahre im Jaffna-Distrikt, wo er mit seiner Ehefrau, seinem Kind und seinem Bruder über mehrere enge Bezugspersonen verfügt. Zudem wohnen seine Mutter und seine Schwester in Negombo. Im Lichte aller vorgenannten Faktoren besehen ist vom Vorhandensein eines tragfähigen Beziehungsnetzes im Heimatstaat auszugehen. Zudem ist der Beschwerdeführer ausgebildeter Schreiner und verfügt auf diesem Gebiet über langjährige Berufserfahrung, was sich auf eine Reintegration im Heimatstaat begünstigend auswirken dürfte. Es ist daher davon auszugehen, dass es dem Beschwerdeführer möglich ist, sich im Heimatstaat eine Existenz aufzubauen, weshalb sich der Vollzug der Wegweisung auch als zumutbar erweist.</w:t>
      </w:r>
    </w:p>
    <w:p>
      <w:r>
        <w:rPr>
          <w:b/>
        </w:rPr>
        <w:t>E. 7.5</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Die Kosten des Verfahrens wären grundsätzlich dem unterliegenden Be­schwerdeführer aufzuerlegen (Art. 63 Abs. 1 und 5 VwVG), aufgrund des festgestellten und geheilten Verfahrens­mangels jedoch zu ermässigen (Art. 6 Bst. b des Reglements vom 21. Februar 2008 über die Kosten und Entschädigungen vor dem Bundes­verwaltungsgericht (VGKE, SR 173.320.2). Da jedoch das mit der Beschwerde gestellte Gesuch um Gewährung der unentgeltlichen Prozessführung im Sinne von Art. 65 Abs. 1 VwVG mit Verfügung vom 14. September 2011 gutgeheissen wurde, sind keine Verfahrenskosten zu erheben.</w:t>
      </w:r>
    </w:p>
    <w:p>
      <w:r>
        <w:rPr>
          <w:b/>
        </w:rPr>
        <w:t>E. 11.2</w:t>
      </w:r>
    </w:p>
    <w:p>
      <w:r>
        <w:t>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In der Kostennote des Rechtsvertreters des Beschwerdeführers vom 21. September 2011 wird ein Aufwand von Fr. 1315.- ausgewiesen. Danach wurde noch eine weitere Verfahrenshandlung vorgenommen. Vorliegend ist eine Parteientschädigung jedoch nur für diejenigen Aufwendungen zu gewähren, die auf die Verletzung des rechtlichen Gehörs durch die Vorinstanz zurückzuführen sind. Der Aufwand ist zudem insofern zu relativieren, als der Rechtsvertreter des Beschwerdeführers in weiteren gleichgelagerten Fällen aufgetreten ist, was den Aufwand vorliegend gemindert haben dürfte. Es wurde denn auch auf gleichlautende Textbausteine zurückgegriffen. Dementsprechend und in Berücksichtigung der in Betracht zu ziehenden Bemessungsfaktoren (Art. 8-13 VGKE) ist die Parteientschädigung auf insgesamt Fr. 400.-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