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D-4983/2022 vom 16. November 2022</w:t>
      </w:r>
    </w:p>
    <w:p>
      <w:r>
        <w:t>Bundesverwaltungsgericht, 2022-11-16, FR</w:t>
      </w:r>
    </w:p>
    <w:p>
      <w:r>
        <w:rPr>
          <w:b/>
        </w:rPr>
        <w:t xml:space="preserve">Quelle: </w:t>
      </w:r>
      <w:r>
        <w:t>https://mcp.opencaselaw.ch/entscheid/bvger_D-4983_2022</w:t>
      </w:r>
    </w:p>
    <w:p>
      <w:r>
        <w:t>FR: TAF D-4983/2022 du 16 novembre 2022</w:t>
      </w:r>
    </w:p>
    <w:p>
      <w:r>
        <w:t>IT: TAF D-4983/2022 del 16 novembre 2022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Le SEM versera à A._______ le montant de 400 francs à titre de dépens.</w:t>
      </w:r>
    </w:p>
    <w:p>
      <w:r>
        <w:rPr>
          <w:b/>
        </w:rPr>
        <w:t>E. 4</w:t>
      </w:r>
    </w:p>
    <w:p>
      <w:r>
        <w:t>Le présent arrêt est adressé à la mandataire du recourant, au SEM, ainsi qu'à l'autorité cantonale compétente. Le président du collège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