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D-497/2023 vom 18. Januar 2023</w:t>
      </w:r>
    </w:p>
    <w:p>
      <w:r>
        <w:t>Bundesverwaltungsgericht, 2023-01-18, DE</w:t>
      </w:r>
    </w:p>
    <w:p>
      <w:r>
        <w:rPr>
          <w:b/>
        </w:rPr>
        <w:t xml:space="preserve">Quelle: </w:t>
      </w:r>
      <w:r>
        <w:t>https://mcp.opencaselaw.ch/entscheid/bvger_D-497_2023_d20230118</w:t>
      </w:r>
    </w:p>
    <w:p>
      <w:r>
        <w:t>FR: TAF D-497/2023 du 18 janvier 2023</w:t>
      </w:r>
    </w:p>
    <w:p>
      <w:r>
        <w:t>IT: TAF D-497/2023 del 18 gennaio 2023</w:t>
      </w:r>
    </w:p>
    <w:p>
      <w:pPr>
        <w:pStyle w:val="Heading2"/>
      </w:pPr>
      <w:r>
        <w:t>Regeste</w:t>
      </w:r>
    </w:p>
    <w:p>
      <w:r>
        <w:t>Asyl und Wegweisung (Mehrfachgesuch) | Asyl und Wegweisung (Nichteintreten auf Mehrfachgesuch); Verfügung des SEM vom 18. Januar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ist – unter Vorbehalt der beiden nachfolgenden Erwä- gungen – einzutreten (Art. 108 Abs. 3 AsylG und Art. 52 Abs. 1 VwVG).</w:t>
      </w:r>
    </w:p>
    <w:p>
      <w:r>
        <w:rPr>
          <w:b/>
        </w:rPr>
        <w:t>E. 1.3</w:t>
      </w:r>
    </w:p>
    <w:p>
      <w:r>
        <w:t>Die Fragen der Anerkennung der Flüchtlingseigenschaft sowie der Ge- währung von Asyl bilden nicht Gegenstand des angefochtenen Nichteintre- tensentscheides und damit auch nicht des vorliegenden Verfahrens. Auf das Subeventualbegehren ist deshalb nicht einzutreten.</w:t>
      </w:r>
    </w:p>
    <w:p>
      <w:r>
        <w:rPr>
          <w:b/>
        </w:rPr>
        <w:t>E. 1.4</w:t>
      </w:r>
    </w:p>
    <w:p>
      <w:r>
        <w:t>Auf das Rechtsbegehren, es sei der Beschwerde die aufschiebende Wirkung zu erteilen und dem Beschwerdeführer zu gestatten, das Verfah- ren in der Schweiz abzuwarten, ist nicht einzutreten, da der Beschwerde grundsätzlich von Gesetzes wegen aufschiebende Wirkung zukommt (vgl. Art. 55 Abs. 1 VwVG) und die Vorinstanz diese nicht entzogen hat, weshalb der Beschwerdeführer den Ausgang des Beschwerdeverfahrens ohnehin in der Schweiz abwarten darf (vgl. Art. 42 AsylG).</w:t>
      </w:r>
    </w:p>
    <w:p>
      <w:r>
        <w:rPr>
          <w:b/>
        </w:rPr>
        <w:t>E. 2</w:t>
      </w:r>
    </w:p>
    <w:p>
      <w:r>
        <w:t>Die Kognition des Bundesverwaltungsgerichts und die zulässigen Rügen richten sich im Asylbereich nach Art. 106 Abs. 1 AsylG, im Bereich des Aus- länderrechts nach Art. 49 VwVG (vgl. BVGE 2014/26 E. 5).</w:t>
      </w:r>
    </w:p>
    <w:p>
      <w:r>
        <w:t>D-497/2023 Seite 5</w:t>
      </w:r>
    </w:p>
    <w:p>
      <w:r>
        <w:rPr>
          <w:b/>
        </w:rPr>
        <w:t>E. 3</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 desverwaltungsgericht diese Punkte insoweit ohne Einschränkung prüft.</w:t>
      </w:r>
    </w:p>
    <w:p>
      <w:r>
        <w:rPr>
          <w:b/>
        </w:rPr>
        <w:t>E. 4</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Asylgesuche, die innert fünf Jahren nach Eintritt der Rechtskraft des Asyl- und Wegweisungsentscheides eingereicht werden, haben gemäss Art. 111c Abs. 1 AsylG schriftlich und begründet zu erfolgen.</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6.1</w:t>
      </w:r>
    </w:p>
    <w:p>
      <w:r>
        <w:t>Eine Prüfung der Akten ergibt, dass die vorinstanzlichen Erwägungen vollumfänglich zu bestätigen sind. Wie von der Vorinstanz zutreffend festgestellt, ist das Erfordernis einer (materiell) ausreichenden Begründung im Sinne von Art. 111c Abs. 1 AsylG vorliegend als nicht erfüllt zu erachten (vgl. zum Nichteintretensgrund der mangelhaften Begründung BVGE 2014/39 E. 7). Weder die vom Be- schwerdeführer ins Recht gelegten Berichte den Gesundheitszustand</w:t>
      </w:r>
    </w:p>
    <w:p>
      <w:r>
        <w:t>D-497/2023 Seite 6 seiner Frau betreffend noch seine Befürchtung, aufgrund der verschärften Sicherheitslage als Person mit seinem Profil entsprechende Nachteile zu erleiden, sind als ausreichend begründet im Sinne der erhöhten Anforde- rungen an die Begründung eines solchen Mehrfachgesuchs zu qualifizie- ren. Zur Vermeidung von Wiederholungen kann vollumfänglich auf die vorinstanzliche Verfügung verwiesen werden. Auch sind die vorinstanzli- chen Schlussfolgerungen in Bezug auf die ins Recht gelegten Beweismittel nicht zu bemängeln, sind diese doch vorliegend zum Beleg der Glaubhaf- tigkeit oder Asylrelevanz seiner ursprünglich Fluchtvorbringen untauglich; auf Beschwerdeebene wurden keine weiteren Beweismittel eingereicht. Der Beschwerdeführer ist den erhöhten Anforderungen an die Begrün- dungspflicht mithin auch in dieser Hinsicht nicht ausreichend nachgekom- men. Die Ausführungen auf Beschwerdeebene sind nicht geeignet, zu einer an- deren Einschätzung zu gelangen, zumal sie sich insbesondere in der Wie- derholung des bereits Dargelegten und in oberflächlicher Kritik an den Ver- fügungen der Vorinstanz sowie dem in casu ergangenen Urteil des Bun- desverwaltungsgerichts erschöpfen. Soweit der Sachverhalt so dargestellt wird, wie wenn das erste Verfahren mit der Feststellung der Glaubhaftigkeit der Asylgründe beziehungsweise fälschlicherweise mit deren Unglaubhaf- tigkeit geendet hätte, überzeugt dies offenkundig nicht. Auf die entspre- chenden Vorbringen ist bereits aus diesem Grund nicht weiter einzugehen. Insoweit der Beschwerdeführer erneut die allgemeine Lage in seinem Hei- matstaat anführt, vermag er diese nach wie vor nicht in einen überzeugen- den sowie relevanten Kontext zu seiner Person zu setzen, weshalb die ent- sprechenden Beschwerdeausführungen zur allgemeinen Lage in Sri Lanka ebenfalls ins Leere gehen. Schliesslich erweisen sich auch die formellen Rügen als offensichtlich unbegründet. So liegt das gerügte Verhalten der Vorinstanz offensichtlich nicht im Anwendungsbereich des Grundsatzes von Treu und Glauben, geht es hierbei doch einerseits um die Frage, wie weit sich Privatpersonen auf eine im Widerspruch zum geltenden Recht stehende behördliche Auskunft verlassen können, und andererseits da- rum, dass die Behörden nicht ohne sachlichen Grund einen einmal in einer Sache eingenommenen Standpunkt wechseln sollten (vgl. BGE 138 I 49 E. 8.3.1). Auch ist keine andere Form treuwidrigen Handelns ersichtlich. Sodann liegt Willkür nicht schon dann vor, wenn eine andere Lösung in Betracht zu ziehen oder sogar vorzuziehen wäre, sondern nur, wenn ein Entscheid offensichtlich unhaltbar ist, mit der tatsächlichen Situation in kla- rem Widerspruch steht, eine Norm oder einen unumstrittenen Rechts- grundsatz klar verletzt oder in stossender Weise dem Gerechtigkeits-</w:t>
      </w:r>
    </w:p>
    <w:p>
      <w:r>
        <w:t>D-497/2023 Seite 7 gedanken zuwiderläuft (vgl. BGE 133 I 149 E. 3.1). Hier wird jedoch weder näher ausgeführt noch ist – im Sinne einer Prüfung von Amtes wegen – ersichtlich, dass und inwiefern die Erwägungen der Vorinstanz darunter zu subsumieren wären. Überdies wurde weder der Sachverhalt unvollständig oder fehlerhaft festgestellt noch finden sich Anhaltspunkte, wonach das rechtliche Gehör verletzt worden wäre. Hieran vermag die auf Beschwer- deebene ins Recht gelegte Verfügung des SEM vom 19. Oktober 2022 nichts zu ändern. Das Lagebild der Vorinstanz wird stets aktualisiert und wurde in casu korrekt angewendet.</w:t>
      </w:r>
    </w:p>
    <w:p>
      <w:r>
        <w:rPr>
          <w:b/>
        </w:rPr>
        <w:t>E. 6.2</w:t>
      </w:r>
    </w:p>
    <w:p>
      <w:r>
        <w:t>Die Vorinstanz ist somit zu Recht auf das Mehrfachgesuch mangels gehöriger Begründung der neuen Asylvorbringen in Anwendung von Art. 111c AsylG Abs. 1 i.V.m. Art. 13 Abs. 2 VwVG nicht eingetreten.</w:t>
      </w:r>
    </w:p>
    <w:p>
      <w:r>
        <w:rPr>
          <w:b/>
        </w:rPr>
        <w:t>E. 7.1</w:t>
      </w:r>
    </w:p>
    <w:p>
      <w:r>
        <w:t>Lehnt das SEM das Asylgesuch ab oder tritt es darauf nicht ein, so verfügt es in der Regel die Wegweisung aus der Schweiz und ordnet den Vollzug an (Art. 44 AsylG).</w:t>
      </w:r>
    </w:p>
    <w:p>
      <w:r>
        <w:rPr>
          <w:b/>
        </w:rPr>
        <w:t>E. 7.2</w:t>
      </w:r>
    </w:p>
    <w:p>
      <w:r>
        <w:t>Nachdem der Beschwerdeführer weder über eine ausländerrechtliche Aufenthaltsbewilligung noch über einen Anspruch auf Erteilung einer sol- chen verfügt, wurde die Wegweisung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Im vorangegangenen ersten Asylbeschwerdeverfahren wurde mit Ur- teil des Bundesverwaltungsgerichts D-402/2020 vom 5. April 2022 rechts- kräftig bestätigt, dass sich der Vollzug der Wegweisung des Beschwerde- führers nach Sri Lanka sowohl im Sinne der asyl- als auch der völkerrecht- lichen Bestimmungen als zulässig im Sinne von Art. 83 Abs. 3 AIG erweist (vgl. a.a.O. E. 9.2). Die Vorbringen im vorliegenden Verfahren rechtfertigen</w:t>
      </w:r>
    </w:p>
    <w:p>
      <w:r>
        <w:t>D-497/2023 Seite 8 keine andere Einschätzung, da weiterhin nicht von einer asylrelevanten Gefährdung des Beschwerdeführers auszugehen ist, weshalb das flücht- lingsrechtliche Non-Refoulement-Prinzip nicht tangiert ist, und auch sonst – insbesondere auch unter Beachtung der aktuellen politischen Ent- wicklungen in Sri Lanka – keine anderweitigen völkerrechtlichen Vollzugs- hindernisse erkennbar sind. Daran vermögen weder die Ausführungen im Mehrfachgesuch noch in der Beschwerde etwas zu ändern.</w:t>
      </w:r>
    </w:p>
    <w:p>
      <w:r>
        <w:rPr>
          <w:b/>
        </w:rPr>
        <w:t>E. 8.3</w:t>
      </w:r>
    </w:p>
    <w:p>
      <w:r>
        <w:t>Sodann hat das Bundesverwaltungsgericht den Wegweisungsvollzug für den Beschwerdeführer als zumutbar erachtet (vgl. a.a.O. E. 9.3). Wie die Vorinstanz erachtet auch das Bundesverwaltungsgericht den Wegwei- sungsvollzug nach Sri Lanka und insbesondere in den Distrikt B._______ (D._______), wo die nächsten Angehörigen des Beschwerdeführers (der über Schulbildung und Berufserfahrung verfügt) offenbar immer noch le- ben, sowohl in genereller als auch in individueller Hinsicht weiterhin als zumutbar im Sinne von Art. 83 Abs. 4 AIG, wobei die in der Beschwerde- schrift erwähnten Berichte und der Verweis auf die Verfügung des SEM vom 19. Oktober 2022 auch diesbezüglich nichts zu ändern vermögen.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ergibt sich, dass die Vorinstanz den Vollzug der Wegweisung zu Recht als zulässig, zumutbar und möglich erachtet hat. Eine Anordnung der vorläufigen Aufnahme fällt somit ausser Betracht (Art. 83 Abs. 1–4 AIG). Das 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Aufgrund der Aussichtslosigkeit der Rechtsbegehren sind die mit Eingabe vom 27. Januar 2025 gestellten Gesuche um unentgeltliche Prozessfüh- rung und Rechtsverbeiständung – ungeachtet der geltend gemachten</w:t>
      </w:r>
    </w:p>
    <w:p>
      <w:r>
        <w:t>D-497/2023 Seite 9 prozessualen Bedürftigkeit – abzuweisen. Mit dem vorliegenden Urteil wird der Antrag, es sei die Dispositivziffer 2 der Zwischenverfügung vom 14. Ja- nuar 2025 (Erhebung eines Kostenvorschusses) aufzuheben, gegen- standslos. Die Kosten von Fr. 2’000.– sind dem Beschwerdeführer aufzu- erlegen (Art. 37 VGG i.V.m. Art. 63 Abs. 1 und Art. 68 Abs. 2 VwVG; Art. 1– 3 des Reglements vom 21. Februar 2008 über die Kosten und Entschädi- gungen vor dem Bundesverwaltungsgericht [VGKE, SR 173.320.2]).</w:t>
      </w:r>
    </w:p>
    <w:p>
      <w:r>
        <w:t>(Dispositiv nächste Seite)</w:t>
      </w:r>
    </w:p>
    <w:p>
      <w:r>
        <w:t>D-497/2023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