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D-4979/2011 vom 31. Oktober 2011</w:t>
      </w:r>
    </w:p>
    <w:p>
      <w:r>
        <w:t>Bundesverwaltungsgericht, 2011-10-31, DE</w:t>
      </w:r>
    </w:p>
    <w:p>
      <w:r>
        <w:rPr>
          <w:b/>
        </w:rPr>
        <w:t xml:space="preserve">Quelle: </w:t>
      </w:r>
      <w:r>
        <w:t>https://mcp.opencaselaw.ch/entscheid/bvger_D-4979_2011</w:t>
      </w:r>
    </w:p>
    <w:p>
      <w:r>
        <w:t>FR: TAF D-4979/2011 du 31 octobre 2011</w:t>
      </w:r>
    </w:p>
    <w:p>
      <w:r>
        <w:t>IT: TAF D-4979/2011 del 31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nachstehenden Ausführungen (E. 1.4.)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Eventualbegehren um Wiederherstellung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Schweizerischen Asylrekurskommission [EMARK] 2005 Nr. 21 E. 7.1. ff. S. 193 f. und dort zitierte Urteile).</w:t>
      </w:r>
    </w:p>
    <w:p>
      <w:r>
        <w:rPr>
          <w:b/>
        </w:rPr>
        <w:t>E. 5.1</w:t>
      </w:r>
    </w:p>
    <w:p>
      <w:r>
        <w:t>Nach Prüfung der Akten durch das Gericht ist - in Übereinstimmung mit der Vorinstanz - festzustellen, dass die Asylvorbringen des Beschwer­deführers nicht asylrelevant sind, weshalb diesbezüglich vorab auf die ausführlichen und zutreffenden vorinstanzlichen Erwägungen zu verweisen ist (vgl. Ziffer I, Bst. B. vorstehend). Die Vorbringen in der Rechts­mit­telschrift sind nicht geeignet, eine Änderung der vorinstanzlichen Verfügung zu bewirken, zumal diesen keine stichhaltigen Entgegnungen zu entnehmen sind. Beispielsweise ist der Behauptung des Beschwerdeführers in der Rechtsmittelschrift, wonach er ein Kriegsflüchtling sei, entgegenzuhalten, dass der Bosnienkrieg seit 1995 beendet ist und der Beschwerdeführer nicht vorbringt, sein Heimatland aufgrund des Krieges verlassen zu haben. Gegen eine asylrelevante Verfolgung des Beschwer­deführers in Bosnien und Herzegowina spricht im Übrigen der Umstand, dass er Ende 2009 freiwillig von Deutschland in sein Heimatland zurückkehrte (Akten BFM A 11/17, S. 3). Es ist davon auszugehen, dass er bereits in Deutschland um Asyl ersucht hätte, hätte er in Bosnien und Herzegowina tatsächlich ernsthafte Nachteile zu befürchten gehabt.</w:t>
      </w:r>
    </w:p>
    <w:p>
      <w:r>
        <w:rPr>
          <w:b/>
        </w:rPr>
        <w:t>E. 5.2</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Bosnien und Herzegowina befürchten müsste. Der Beschwerdeführer vermag mit seinen Beschwerdevorbringen zu keiner anderen Betrachtungsweise zu führen, weshalb es sich erübrigt, weiter darauf einzugehen.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Bosnien und Herzegowina ist demnach unter dem Aspekt von Art. 5 AsylG rechtmässig. Sodann ergeben sich weder aus den Aussagen des Beschwerdeführers noch aus den Akten Anhaltspunkte dafür, dass er für den Fall einer Ausschaffung nach Bosnien und Herzegowina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dem Beschwerdeführer im Falle einer Rückschiebung in sein Heimatland eine derartige Gefahr droht.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Nach Einschätzung des Bundesverwaltungsgerichts ist zum heutigen Zeitpunkt nicht von einer allgemeinen Situation der Gewalt oder von kriegerischen oder bürgerkriegsähnlichen Verhältnissen in Bosnien und Herzegowina auszugehen, welche für den Beschwerdeführer bei einer Rückkehr eine konkrete Gefährdung darstellen würden.</w:t>
      </w:r>
    </w:p>
    <w:p>
      <w:r>
        <w:rPr>
          <w:b/>
        </w:rPr>
        <w:t>E. 7.3.3</w:t>
      </w:r>
    </w:p>
    <w:p>
      <w:r>
        <w:t>Auch aufgrund der persönlichen Situation des Beschwerdeführers sind keine Gründe ersichtlich, die gegen die Zumutbarkeit des Wegweisungsvollzugs sprechen. Der Beschwerdeführer verfügt über eine gute Ausbildung ((...) und (...)) sowie jahrelange Berufserfahrung, weshalb anzunehmen ist, er könne sich in seiner Heimat wieder wirtschaftlich integrieren. Soweit er in der Rechtsmittelschrift geltend macht, seine Nieren und seine Leber seien beschädigt, ist festzuhalten, dass diesbezüglich bis heute kein Arztbericht zu den Akten ging, weshalb diese gesundheitlichen Probleme nicht belegt sind. Daher ist davon auszugehen, dass der Beschwerdeführer unter keinen gravierenden gesundheitlichen Problemen leidet, weswegen einer Rückkehr in sein Heimatland auch keine medizinischen Gründe entgegenstehen. Dafür spricht auch seine Aussage in der Beschwerde, wonach er trotz seiner gesundheitlichen Beschwerden arbeitsfähig sei. Zudem leben gemäss seinen Angaben seine Mutter, seine beiden Brüder, seine beiden Kinder sowie mehrere Freunde in Bosnien und Herzegowina. Vor diesem Hintergrund ist davon auszugehen, dass er in seiner Heimat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BVGE 2008/34 E. 11.2.2). Nach dem Gesagten ist der Vollzug der Wegweisung somit auch als zumutbar zu bezeichnen.</w:t>
      </w:r>
    </w:p>
    <w:p>
      <w:r>
        <w:rPr>
          <w:b/>
        </w:rPr>
        <w:t>E. 7.3.4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Mit dem negativen Entscheid in der Hauptsache wird der Antrag um vorsorgliche Anweisung an die zuständige Behörde, die Kontaktaufnahme mit den Behörden des Heimat- oder Herkunftsstaates sowie jegliche Datenweitergabe an diese zu unterlassen, gegenstandslos. Hinsichtlich des Eventualbegehrens um Information des Beschwerdeführers in einer separaten Verfügung im Falle einer bereits erfolgten Datenweitergabe ist festzustellen, dass gemäss Akten keine Daten an die heimatlichen Behörden weitergegeben wurden, weshalb sich auch dieser Antrag mangels Rechtsschutzinteresse als gegenstandslos erweist.</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5. Oktober 2011 in derselben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