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D-4974/2024 vom 13. November 2024</w:t>
      </w:r>
    </w:p>
    <w:p>
      <w:r>
        <w:t>Bundesverwaltungsgericht, 2024-11-13, DE</w:t>
      </w:r>
    </w:p>
    <w:p>
      <w:r>
        <w:rPr>
          <w:b/>
        </w:rPr>
        <w:t xml:space="preserve">Quelle: </w:t>
      </w:r>
      <w:r>
        <w:t>https://mcp.opencaselaw.ch/entscheid/bvger_D-4974_2024</w:t>
      </w:r>
    </w:p>
    <w:p>
      <w:r>
        <w:t>FR: TAF D-4974/2024 du 13 novembre 2024</w:t>
      </w:r>
    </w:p>
    <w:p>
      <w:r>
        <w:t>IT: TAF D-4974/2024 del 13 novembre 2024</w:t>
      </w:r>
    </w:p>
    <w:p>
      <w:pPr>
        <w:pStyle w:val="Heading2"/>
      </w:pPr>
      <w:r>
        <w:t>Regeste</w:t>
      </w:r>
    </w:p>
    <w:p>
      <w:r>
        <w:t>Asyl und Wegweisung</w:t>
      </w:r>
    </w:p>
    <w:p>
      <w:pPr>
        <w:pStyle w:val="Heading2"/>
      </w:pPr>
      <w:r>
        <w:t>Erwägungen</w:t>
      </w:r>
    </w:p>
    <w:p>
      <w:r>
        <w:rPr>
          <w:b/>
        </w:rPr>
        <w:t>E. 11</w:t>
      </w:r>
    </w:p>
    <w:p>
      <w:r>
        <w:t>Oktober 2024 E.8.2, E-4898/2024 vom 22. August 2024 E. 5.3 und 7, E-4322/2024 vom 25. Juli 2024 E. 6.4, D-2824/2024 vom 4. Juni 2024 E. 4.2, D-2036/2024 vom 13. Mai 2024 E. 4, E-1558/2024 vom 22. April 2024 E. 5.2 und 6.1.3 und E-7167/2023 vom 27. Februar 2024 E. 6.2), dass auch das geltend gemachte exilpolitische Engagement der Be- schwerdeführenden (Demonstrationsteilnahmen, Besuch eines kurdischen Vereins, Beiträge in den sozialen Medien; vgl. A29/16 F88, A30/11 F61 f. und Beschwerde S. 11, 25) lediglich als massentypisch zu qualifizieren ist, dass diese Aktivitäten der Beschwerdeführenden denn ohnehin nicht be- legt sind, zumal die Beschwerdeführerin auf der Videoaufnahme, auf wel- che in der Beschwerdeschrift in diesem Zusammenhang verwiesen wird (vgl. Beschwerde S. 23), in mitten einer protestierenden Menschenmenge nicht zu erkennen ist,</w:t>
      </w:r>
    </w:p>
    <w:p>
      <w:r>
        <w:t>D-4974/2024 Seite 5 dass auch die zahlreichen in der Beschwerdeschrift aufgeführten Internet- links an dieser Einschätzung nichts zu ändern vermögen und mangels per- sönlichen Bezugs unbehelflich sind, dass es denn auch nicht wahrscheinlich erscheint, die Beschwerdeführen- den könnten in absehbarer Zukunft von Reflexverfolgungsmassnahmen betroffen sein, dass kein Zusammenhang zwischen den angeblich in der Türkei erlittenen Nachteilen der Beschwerdeführenden und der behaupteten Verfolgung ih- res familiären Umfeldes, insbesondere des Grossvaters, Bruders und On- kels sowie der Mutter der volljährigen Beschwerdeführerin, erkennbar ist, zumal die betreffenden Familienmitglieder ihren eigenen Angaben nach teilweise bereits verstorben sind (vgl. A29/16 F52, F89 und A30/11 F42, F55, F73), dass auch die geltend gemachten Diskriminierungen der Beschwerde- führenden in der Türkei, insbesondere die berufliche Tätigkeit des Be- schwerdeführers betreffend (vgl. A29/16 F20), mangels Intensität nicht über die Nachteile hinaus gehen, die weite Teile der kurdischen Bevölke- rung treffen können, womit sie mangels Gezieltheit nicht als im Sinne des Gesetzes ernsthaft zu qualifizieren und damit flüchtlingsrechtlich nicht re- levant sind, dass das minderjährige Kind keine eigenen Asylgründe geltend macht, dass es den Beschwerdeführenden somit nicht gelingt, die Flüchtlingsei- genschaft nachzuweisen oder zumindest glaubhaft zu machen, weshalb die Vorinstanz die Asylgesuche zu Recht abgelehnt hat, dass die Anordnung der Wegweisung aus der Schweiz im Einklang mit den gesetzlichen Bestimmungen steht und zu bestätigen ist, da die Beschwer- deführenden insbesondere weder über einen Aufenthaltstitel für die Schweiz noch über eine Anspruchsgrundlage auf Erteilung eines solchen verfügen (Art. 44 [erster Satz] AsylG; BVGE 2013/37 E. 4.4 und 2009/50 E. 9, je m.w.H.), dass das SEM das Anwesenheitsverhältnis nach den gesetzlichen Bestim- mungen über die vorläufige Aufnahme regelt, wenn der Vollzug der Weg- weisung nicht zulässig, nicht zumutbar oder nicht möglich ist (Art. 44 AsylG; Art. 83 Abs. 1–4 AIG [SR 142.20]), dass bezüglich der Geltendmachung von Wegweisungsvollzugshindernis- sen gemäss Praxis des Bundesverwaltungsgerichts der gleiche Beweis-</w:t>
      </w:r>
    </w:p>
    <w:p>
      <w:r>
        <w:t>D-4974/2024 Seite 6 standard wie bei der Flüchtlingseigenschaft gilt (vgl. BVGE 2011/24 E. 10.2 m.w.H.), dass sich der Vollzug der Wegweisung in Beachtung der massgeblichen völker- und landesrechtlichen Bestimmungen als zulässig erweist (Art. 83 Abs. 3 AIG), da nach vorstehenden Erwägungen keine Hinweise auf eine flüchtlingsrechtlich relevante Verfolgung bestehen (Art. 5 Abs. 1 AsylG; Art. 33 Abs. 1 FK [SR 0.142.30]) und auch keine konkreten Anhaltspunkte für eine in der Heimat drohende menschenrechtswidrige Behandlung (im Sinne von Art. 3 EMRK) ersichtlich sind, dass der Vollzug der Wegweisung auch als zumutbar zu erkennen ist (Art. 83 Abs. 4 AIG), da weder die allgemeine Lage in der Heimat der Beschwerdeführenden noch individuelle Gründe – insbesondere auch unter Berücksichtigung des Kindeswohls – auf eine konkrete Gefährdung im Falle einer Rückkehr schliessen lassen, dass die Beschwerdeführenden gesund sind, aus guten finanziellen Ver- hältnissen stammen, die volljährigen Beschwerdeführenden eine gute so- wie vielseitige Berufserfahrung aufweisen und sie im Heimatstaat über ein grosses familiäres Beziehungsnetz verfügen (vgl. A29/16 F20 f., F25, F30 ff. und A30/11 F19, F27), weshalb davon auszugehen ist, sie werden sich sowohl in beruflicher als auch sozialer Hinsicht schnell reintegrieren können, dass es den Beschwerdeführenden obliegt, sich die für ihre Rückkehr al- lenfalls benötigten Reisedokumente zu beschaffen (Art. 8 Abs. 4 AsylG; vgl. BVGE 2008/34 E. 12), weshalb der Vollzug der Wegweisung auch als möglich zu bezeichnen ist, dass die Anordnung der vorläufigen Aufnahme somit ausser Betracht fällt (Art. 83 Abs. 1-4 AIG), dass die Beschwerde nach dem Gesagten abzuweisen, soweit darauf ein- zutreten ist, und die Verfügung der Vorinstanz zu bestätigen ist, dass bei diesem Ausgang des Verfahrens die Kosten den Beschwerdefüh- renden aufzuerlegen (Art. 63 Abs. 1 VwVG) und auf insgesamt Fr. 750.– festzusetzen sind (Art. 1–3 des Reglements vom 21. Februar 2008 über die Kosten und Entschädigungen vor dem Bundesverwaltungsgericht [VGKE, SR 173.320.2]), wobei sie durch den in gleicher Höhe geleisteten Kostenvorschuss gedeckt sind. (Dispositiv nächste Seite)</w:t>
      </w:r>
    </w:p>
    <w:p>
      <w:r>
        <w:t>D-4974/2024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