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D-4970/2017 vom 11. September 2017</w:t>
      </w:r>
    </w:p>
    <w:p>
      <w:r>
        <w:t>Bundesverwaltungsgericht, 2017-09-11, DE</w:t>
      </w:r>
    </w:p>
    <w:p>
      <w:r>
        <w:rPr>
          <w:b/>
        </w:rPr>
        <w:t xml:space="preserve">Quelle: </w:t>
      </w:r>
      <w:r>
        <w:t>https://mcp.opencaselaw.ch/entscheid/bvger_D-4970_2017</w:t>
      </w:r>
    </w:p>
    <w:p>
      <w:r>
        <w:t>FR: TAF D-4970/2017 du 11 septembre 2017</w:t>
      </w:r>
    </w:p>
    <w:p>
      <w:r>
        <w:t>IT: TAF D-4970/2017 del 11 settembre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3.1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Die bulgarischen Behörden hiessen das Übernahmeersuchen des SEM am 17. August 2017 gut. Die staatsvertragliche Zuständigkeit Bulgariens ist somit grundsätzlich gegeben und bleibt im Beschwerdeverfahren auch unbestritten.</w:t>
      </w:r>
    </w:p>
    <w:p>
      <w:r>
        <w:rPr>
          <w:b/>
        </w:rPr>
        <w:t>E. 3.2</w:t>
      </w:r>
    </w:p>
    <w:p>
      <w:r>
        <w:t>In der Rechtsmitteleingabe bringt der Beschwerdeführer gegen seine Überstellung nach Bulgarien ausschliesslich vor, er sei mit Urteil des Bezirksgerichts Zürich vom (...) zu (...) gemeinnütziger Arbeit verurteilt worden. Er sei verpflichtet, diese Arbeitsstunden in der Stadt Zürich abzuleisten, und die Schweiz sei verpflichtet, dieses Urteil zu vollziehen. Demzufolge sei der Nichteintretensentscheid an die Vorinstanz zurückzuweisen, weil das Staatssekretariat für Migration kein Gerichtsurteil aufheben könne. Gemäss der bundesgerichtlichen Rechtsprechung rechtfertigt sich die Anordnung von gemeinnütziger Arbeit nur dann, solange wenigstens Aussicht besteht, dass der Betroffene auch nach einem allfälligen Strafvollzug für sein Fortkommen in der Schweiz bleiben darf. Der Sinn der Arbeitsstrafe ist die Wiedergutmachung zu Gunsten der lokalen Gemeinschaft sowie die Erhaltung des sozialen Netzes des Verurteilten. Dort, wo ein Verbleib des Ausländers aber von vornherein ausgeschlossen ist, lässt sich dies nicht erreichen. Besteht demnach bereits im Urteilszeitpunkt kein Anwesenheitsrecht oder steht fest, dass über einen ausländerrechtlichen Status endgültig entschieden worden ist und der Betroffene die Schweiz verlassen muss, hat die gemeinnützige Arbeit als Sanktion auszuscheiden (vgl. BGE 134 IV 97 E. 6.3.3.4). Demgemäss wurde mittels Schreiben des Amtes für Justizvollzug des Kantons Zürich vom (...) der Vollzugsauftrag wieder an das Bezirksgericht Zürich zurückgegeben, weshalb es für den Beschwerdeführer momentan gar nicht möglich ist, im Kanton Zürich gemeinnützige Arbeit zu leisten. Das Dublin-Verfahren bliebe vom Ausgang dieses Strafverfahrens aber ohnehin unberührt. Die Zuständigkeit Bulgariens bleibt bestehen und für einen Selbsteintritt der Vorinstanz nach Dublin-III-VO und Art. 29a AsylV 1 besteht keine Veranlassung.</w:t>
      </w:r>
    </w:p>
    <w:p>
      <w:r>
        <w:rPr>
          <w:b/>
        </w:rPr>
        <w:t>E. 3.3</w:t>
      </w:r>
    </w:p>
    <w:p>
      <w:r>
        <w:t>Aus diesen Erwägungen ergibt sich, dass die angefochtene Verfügung kein Bundesrecht verletzt und auch sonst nicht zu beanstanden ist (Art. 106 AsylG und Art. 49 VwVG). Die Vorinstanz ist deshalb zu Recht auf das Asylgesuch nicht eingetreten und hat die Wegweisung nach Bulgarien verfügt. Die Beschwerde ist somit abzuweisen.</w:t>
      </w:r>
    </w:p>
    <w:p>
      <w:r>
        <w:rPr>
          <w:b/>
        </w:rPr>
        <w:t>E. 4.1</w:t>
      </w:r>
    </w:p>
    <w:p>
      <w:r>
        <w:t>Das Gesuch um Gewährung der unentgeltlichen Prozessführung ist abzuweisen, weil die Begehren - wie sich aus den obigen Erwägungen ergibt - als aussichtlos zu bezeichnen waren, weshalb die Voraussetzungen von Art. 65 Abs. 1 VwVG nicht erfüllt sind.</w:t>
      </w:r>
    </w:p>
    <w:p>
      <w:r>
        <w:rPr>
          <w:b/>
        </w:rPr>
        <w:t>E. 4.2</w:t>
      </w:r>
    </w:p>
    <w:p>
      <w:r>
        <w:t>Bei diesem Ausgang des Verfahrens sind die Kosten von Fr. 750.- (Art. 1-3 des Reglements vom 21. Februar 2008 über die Kosten und Entschädigungen vor dem Bundesverwaltungsgericht [VGKE, SR 173.320.2]) dem Beschwerdeführer aufzuerlegen (Art. 63 Abs. 1 VwVG). Die Anträge, auf die Erhebung eines Kostenvorschusses sei zu verzichten und der Beschwerde sei die aufschiebende Wirkung zu erteilen,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