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D-4959/2025 vom 22. Juli 2025</w:t>
      </w:r>
    </w:p>
    <w:p>
      <w:r>
        <w:t>Bundesverwaltungsgericht, 2025-07-22, DE</w:t>
      </w:r>
    </w:p>
    <w:p>
      <w:r>
        <w:rPr>
          <w:b/>
        </w:rPr>
        <w:t xml:space="preserve">Quelle: </w:t>
      </w:r>
      <w:r>
        <w:t>https://mcp.opencaselaw.ch/entscheid/bvger_D-4959_2025</w:t>
      </w:r>
    </w:p>
    <w:p>
      <w:r>
        <w:t>FR: TAF D-4959/2025 du 22 juillet 2025</w:t>
      </w:r>
    </w:p>
    <w:p>
      <w:r>
        <w:t>IT: TAF D-4959/2025 del 22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ist als Verfügungsadressat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begründet und ist im Verfahren einzelrichterlicher Zuständigkeit mit Zustimmung eines zweiten Richters beziehungsweise einer zweiten Richterin (Art. 111 Bst. e AsylG) und mit summarischer Begründung zu behandeln (Art. 111a Abs.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erforderlich, dass hinsichtlich des Vollzugs eine Rückübernahmezusicherung des Drittstaates vorliegt. Die tatsächliche Möglichkeit des Wegweisungsvollzugs (und nicht nur der Weiterreise oder Rückkehr) ist Rechtmässigkeitsvoraussetzung für den Erlass eines Nichteintretensentscheids gemäss Art. 31a Abs.1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w:t>
      </w:r>
    </w:p>
    <w:p>
      <w:r>
        <w:rPr>
          <w:b/>
        </w:rPr>
        <w:t>E. 6.1</w:t>
      </w:r>
    </w:p>
    <w:p>
      <w:r>
        <w:t>Der Beschwerdeführer rügt eine unvollständige Sachverhaltserstellung. Er macht geltend, die Vorinstanz habe keine Übernahmezusicherung bei den italienischen Behörden eingeholt, obwohl sie dazu verpflichtet gewesen wäre. Die Zusicherung des entsprechenden Drittstaats zur Rückübernahme der betreffenden Personen sei nach ständiger Rechtsprechung des Bundesverwaltungsgerichts eine Voraussetzung für den Erlass eines Nichteintretensentscheides. Da die Vorinstanz dies versäumt habe, sei die Sache an die Vorinstanz zurückzuweisen.</w:t>
      </w:r>
    </w:p>
    <w:p>
      <w:r>
        <w:rPr>
          <w:b/>
        </w:rPr>
        <w:t>E. 6.2</w:t>
      </w:r>
    </w:p>
    <w:p>
      <w:r>
        <w:t>Die Vorinstanz ist in ihrem Entscheid gestützt auf Art. 31a Abs. 1 Bst. a AsylG nicht auf das Asylgesuch eingetreten und hat die Wegweisung nach Italien angeordnet. Sie hat sich diesbezüglich auf den Standpunkt gestellt, dass eine Rückübernahmezusicherung nicht vorausgesetzt werde, wenn von einem gestützt auf Art. 31a Abs. 1 Bst. a AsylG gefällten Nichteintretensentscheid Personen betroffen seien, die über internationalen Schutz in einem sicheren Drittstaat verfügten. Vorliegend verfüge der Beschwerdeführer über gültige Reisedokumente, sei in Italien als Flüchtling anerkannt und habe einen bis zum (...) 2027 gültigen Aufenthaltstitel, der ihm die Rückkehr nach Italien erlaube. Das Einholen einer Rückübernahmezusicherung sei daher vorliegend nicht vorausgesetzt.</w:t>
      </w:r>
    </w:p>
    <w:p>
      <w:r>
        <w:rPr>
          <w:b/>
        </w:rPr>
        <w:t>E. 6.3</w:t>
      </w:r>
    </w:p>
    <w:p>
      <w:r>
        <w:t>Diese Argumentation der Vorinstanz trifft jedoch nicht zu. Gemäss ständig und auch jüngst im Entscheid des Bundesverwaltungsgerichts D-1950/2025 vom 2. April 2025 E. 5.3 bestätigter Rechtsprechung setzt ein Nichteintretensentscheid gestützt auf Art. 31a Abs. 1 Bst. a AsylG mit Blick auf einen allenfalls erforderlichen zwangsweisen Vollzug der Wegweisung entgegen der Vorinstanz auch beim Vorliegen einer gültigen Aufenthaltsbewilligung voraus, dass der übernehmende Staat eine Rückübernahmezusicherung abgegeben hat (vgl. statt vieler Urteile des BVGer D-1722/2025; D-1726/2025 und D-1729/2025 vom 19. März 2025 E. 6.3). Vorliegend ist das SEM ohne die erforderliche Zusicherung der Rückübernahme des Beschwerdeführers durch die zuständigen italienischen Behörden in Anwendung von Art. 31a Abs. 1 Bst. a AsylG auf die Asylgesuche nicht eingetreten. Der entscheidrelevante Sachverhalt im Hinblick auf die Frage, ob eine Überstellung nach Italien rechtmässig sei, ist demnach nicht rechtsgenüglich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Aufgrund der vorzunehmenden Anfrage zur Rückübernahme ist es angezeigt, die angefochtene Verfügung aufzuheben und die Sache zur vollständigen Sachverhaltsfeststellung (Einholen der erforderlichen Zusicherung der Rückübernahme des Beschwerdeführers durch die zuständigen italienischen Behörden) sowie zu neuer Entscheidung an die Vorinstanz zurückzuweisen. Die Beschwerde ist somit gutzuheissen.</w:t>
      </w:r>
    </w:p>
    <w:p>
      <w:r>
        <w:rPr>
          <w:b/>
        </w:rPr>
        <w:t>E. 7.3</w:t>
      </w:r>
    </w:p>
    <w:p>
      <w:r>
        <w:t>Die Vernehmlassung der Vorinstanz vom 15. Juli 2025 ist dem Beschwerdeführer zusammen mit diesem Urteil zur Kenntnis zu bringen.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450.-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