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D-4954/2025 vom 27. Juni 2025</w:t>
      </w:r>
    </w:p>
    <w:p>
      <w:r>
        <w:t>Bundesverwaltungsgericht, 2025-06-27, DE</w:t>
      </w:r>
    </w:p>
    <w:p>
      <w:r>
        <w:rPr>
          <w:b/>
        </w:rPr>
        <w:t xml:space="preserve">Quelle: </w:t>
      </w:r>
      <w:r>
        <w:t>https://mcp.opencaselaw.ch/entscheid/bvger_D-4954_2025_d20250627</w:t>
      </w:r>
    </w:p>
    <w:p>
      <w:r>
        <w:t>FR: TAF D-4954/2025 du 27 juin 2025</w:t>
      </w:r>
    </w:p>
    <w:p>
      <w:r>
        <w:t>IT: TAF D-4954/2025 del 27 giugno 2025</w:t>
      </w:r>
    </w:p>
    <w:p>
      <w:pPr>
        <w:pStyle w:val="Heading2"/>
      </w:pPr>
      <w:r>
        <w:t>Regeste</w:t>
      </w:r>
    </w:p>
    <w:p>
      <w:r>
        <w:t>Flughafenverfahren (Asyl und Wegweisung) | Flughafenverfahren (Asyl und Wegweisung); Verfügung des SEM vom 27. Juni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3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der Be- schwerdeentscheid nur summarisch zu begründen ist (Art. 111a Abs. 2). Auf die Durchführung eines Schriftenwechsels wurde gestützt auf Art. 111a Abs. 1 AsylG verzichtet.</w:t>
      </w:r>
    </w:p>
    <w:p>
      <w:r>
        <w:rPr>
          <w:b/>
        </w:rPr>
        <w:t>E. 4.1</w:t>
      </w:r>
    </w:p>
    <w:p>
      <w:r>
        <w:t>Der Beschwerdeführer rügt in der Hauptsache die unzureichende Prü- fung beziehungsweise Abklärung des Sachverhalts sowohl in Bezug auf die Frage der Asylrelevanz als auch in Bezug auf die Frage des Wegwei- sungsvollzugs. Insbesondere sei auf die aktuelle militärische Eskalation und die damit einhergehende innenpolitische Lage im Iran und deren Fol- gen insbesondere auch für die kurdische Bevölkerung nicht genügend ein- gegangen worden (vgl. Beschwerde S. 4 f.).</w:t>
      </w:r>
    </w:p>
    <w:p>
      <w:r>
        <w:t>Diese formellen Rügen sind vorab zu prüfen, da sie allenfalls geeignet wä- ren, eine Kassation der vorinstanzlichen Verfügung zu bewirken.</w:t>
      </w:r>
    </w:p>
    <w:p>
      <w:r>
        <w:t>D-4954/2025 Seite 5</w:t>
      </w:r>
    </w:p>
    <w:p>
      <w:r>
        <w:rPr>
          <w:b/>
        </w:rPr>
        <w:t>E. 4.2.1</w:t>
      </w:r>
    </w:p>
    <w:p>
      <w:r>
        <w:t>Aus den Akten ergeben sich indes keinerlei Hinweise, dass das SEM den rechtserheblichen Sachverhalt unrichtig oder unvollständig festgestellt oder seine Untersuchungspflicht verletzt haben könnte. Insbesondere wur- den in der angefochtenen Verfügung – unter Einbezug der diesbezüglich in der Stellungnahme vom 25. Juni 2025 angebrachten Bemerkungen – bei der Entscheidfindung auch die jüngsten Entwicklungen im Iran und die Si- tuation der Kurden berücksichtigt (vgl. angefochtene Verfügung S. 4 und 5 Mitte).</w:t>
      </w:r>
    </w:p>
    <w:p>
      <w:r>
        <w:rPr>
          <w:b/>
        </w:rPr>
        <w:t>E. 4.2.2</w:t>
      </w:r>
    </w:p>
    <w:p>
      <w:r>
        <w:t>Israel startete am 13. Juni 2025 einen Grossangriff auf den Iran und bombardierte in den darauffolgenden Tagen insbesondere iranische Atom- anlagen – in Natanz, Arak, Parchin, Fordo, Isfahan und Bushehr – und ira- nische Militärstützpunkte (vgl. «Israel greift Iran an», in: Tagesschau vom 13. Juni 2025 [https://www.tagesschau.de/ausland/asien/israel-iran- 122.html, besucht am 11. Juli 2025] und «Irans Atomprogramm: Welche Anlagen Israel getroffen hat – und welche nicht», in: Neue Zürcher Zeitung [NZZ] vom 17. Juni 2025 [https://www.nzz.ch/visuals/das-sind-die-wich- tigsten-standorte-des-iranischen-atomprogramms-ld.1888868, besucht am 11. Juli 2025]). Dabei wurden auch Explosionen rund um Teheran und in Städten im westlichen Iran gemeldet, in G._______ waren Rauchsäulen sichtbar (vgl. «Forscher und Offiziere getötet, Atomanlagen bombardiert», in: Tagesspiegel vom 13. Juni 2025 [https://www.tagesspiegel.de/internati- onales/forscher-und-offiziere-getotet-atomanlagen-bombardiert-die-opfer- und-schauplatze-des-israelischen-angriffs-im-iran-13848403.html, be- sucht am 11. Juli 2025]). Am 22. Juni 2025 griffen die USA die iranischen Atomanlagen in Fordo, Natanz und Isfahan an. Seit dem 24. Juni 2025 herrscht offensichtlich ein Waffenstillstand (vgl. «Von der Eskalation zur Waffenruhe», in: Tagesschau vom 24. Juni 2025 [https://www.tages- schau.de/ausland/asien/iran-israel-waffenruhe-entspannung-100.html, be- sucht am 11. Juli 2025]). Gemäss Medienmitteilung des Eidgenössischen Aussendepartements (EDA) vom 6. Juli 2025 nahm die schweizerische Botschaft gleichentags ihre Tätigkeit in Teheran wieder auf, nachdem sich die Lage im Land beruhigt hatte (vgl. https://www.eda.admin.ch, besucht am 11. Juli 2025).</w:t>
      </w:r>
    </w:p>
    <w:p>
      <w:r>
        <w:rPr>
          <w:b/>
        </w:rPr>
        <w:t>E. 4.2.3</w:t>
      </w:r>
    </w:p>
    <w:p>
      <w:r>
        <w:t>Das SEM hat sich mit seinem Hinweis, es verfolge die gegenwärtige Entwicklung der Lage im Iran aufmerksam, zwar sehr knapp, aber dennoch in genügender Weise geäussert und den Sachverhalt festgestellt. Dies umso mehr, als sich die Situation bereits im Zeitpunkt des Verfügungser- lasses entspannt hatte. Der blosse Umstand, dass der Beschwerdeführer</w:t>
      </w:r>
    </w:p>
    <w:p>
      <w:r>
        <w:t>D-4954/2025 Seite 6 die vom SEM gezogenen Schlüsse nicht teilt, vermag noch keine ungenü- gende oder unrichtige Abklärung oder Feststellung des Sachverhalts zu begründen. Vielmehr handelt es sich um eine materielle Frage.</w:t>
      </w:r>
    </w:p>
    <w:p>
      <w:r>
        <w:rPr>
          <w:b/>
        </w:rPr>
        <w:t>E. 4.3</w:t>
      </w:r>
    </w:p>
    <w:p>
      <w:r>
        <w:t>Die formellen Rügen erweisen sich demnach als unbegründet, weshalb keine Veranlassung besteht, die Verfügung aus formellen Gründen aufzu- heben. Der Antrag auf Rückweisung der Sache an die Vorinstanz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6.1</w:t>
      </w:r>
    </w:p>
    <w:p>
      <w:r>
        <w:t>Die Vorinstanz begründete die Abweisung des Asylgesuchs in der an- gefochtenen Verfügung im Wesentlichen damit, die Vorbringen des Be- schwerdeführers hielten den Anforderungen an die Flüchtlingseigenschaft gemäss Art. 3 AsylG nicht stand.</w:t>
      </w:r>
    </w:p>
    <w:p>
      <w:r>
        <w:rPr>
          <w:b/>
        </w:rPr>
        <w:t>E. 6.1.1</w:t>
      </w:r>
    </w:p>
    <w:p>
      <w:r>
        <w:t>Vorab wies das SEM auf die Aussage des Beschwerdeführers hin, er werde von den Pasdaran verfolgt, weil er im (…) von E._______ gearbeitet habe, welcher Mitglied der PJAK sei und nunmehr von den Pasdaran ver- haftet worden sei. Sodann führte das SEM aus, der Beschwerdeführer habe gleichzeitig zu Protokoll gegeben, nie mit E._______ über Politik ge- sprochen, den Inhalt der von jenem abgegebenen Schriften nicht gekannt und sich auch nie persönlich für die Sache der Kurden eingesetzt zu haben; auch sei er nie in Haft oder vor Gericht gewesen, und seine</w:t>
      </w:r>
    </w:p>
    <w:p>
      <w:r>
        <w:t>D-4954/2025 Seite 7 Familienangehörigen hielten sich nach wie vor im Heimatdorf vor. Somit seien abgesehen allenfalls von der ethnischen Zugehörigkeit zur kurdi- schen Volksgruppe aus den Akten keine Risikofaktoren ersichtlich, welche ein gesteigertes Interesse der iranischen Behörden an seiner Person zu begründen vermöchten. Auch wenn es möglich sei, dass der Beschwerde- führer bei einer Rückkehr in den Iran aufgrund seiner Anstellung im (…) von E._______ mit einer Befragung rechnen müsse, so sei es aufgrund seines nicht vorhandenen politischen Profils objektiv nicht nachvollziehbar, dass diese Anstellung eine flüchtlingsrechtlich relevante Gefährdung sei- ner Person zur Folge habe.</w:t>
      </w:r>
    </w:p>
    <w:p>
      <w:r>
        <w:rPr>
          <w:b/>
        </w:rPr>
        <w:t>E. 6.1.2</w:t>
      </w:r>
    </w:p>
    <w:p>
      <w:r>
        <w:t>Im Weiteren bemerkte das SEM, es sei allgemein bekannt, dass An- gehörige der kurdischen Ethnie im Iran von den iranischen Behörden oft strenger behandelt würden und Schikanen sowie Benachteiligungen ver- schiedenster Art ausgesetzt sein könnten. Dabei handle es sich aber noch nicht um ernsthafte Nachteile im Sinne des Asylgesetzes, die einen Ver- bleib im Heimatland verunmöglichten oder unzumutbar erschwerten. Auch die im vorliegenden Fall geltend gemachten Nachteile wie beispielsweise die Unterdrückung der kurdischen Sprache gingen in ihrer Intensität nicht über die Nachteile hinaus, welche weite Teile der kurdischen Bevölkerung im Iran treffen könnten, weshalb sie nicht flüchtlingsrechtlich relevant seien.</w:t>
      </w:r>
    </w:p>
    <w:p>
      <w:r>
        <w:rPr>
          <w:b/>
        </w:rPr>
        <w:t>E. 6.1.3</w:t>
      </w:r>
    </w:p>
    <w:p>
      <w:r>
        <w:t>Schliesslich verwies die Vorinstanz in Bezug auf die in der Stellung- nahme zum Entscheidentwurf enthaltenen Ausführungen (der Beschwer- deführer sei überzeugt, im Gefängnis gefoltert oder sogar hingerichtet zu werden, ausserdem stellten die "jüngsten kriegerischen Auseinanderset- zungen zwischen Iran und Israel sowie die jüngsten Angriffe durch die USA" eine "enorme Eskalation" dar, wobei seither auch Checkpoints er- richtet worden seien, um besser gegen Kurden vorgehen zu können) auf ihre vorangegangenen Erwägungen, zu welchen keine neuen Aspekte ein- gebracht worden seien, zumal das SEM die aktuelle Lage im Iran aufmerk- sam verfolge und im Moment keine Situation allgemeiner Gewalt herrsche. Demnach werde auch der subeventualiter gestellte Antrag, den Beschwer- deführer zwecks weiterer Abklärungen dem erweiterten Verfahren zuzutei- len, abgewiesen.</w:t>
      </w:r>
    </w:p>
    <w:p>
      <w:r>
        <w:rPr>
          <w:b/>
        </w:rPr>
        <w:t>E. 6.2</w:t>
      </w:r>
    </w:p>
    <w:p>
      <w:r>
        <w:t>In der Beschwerdeschrift werden – in zusammengefasster Form – die anlässlich der Anhörung vom 18. Juni 2025 gemachten Aussagen sowie die in der Stellungnahme vom 25. Juni 2025 enthaltenen Einwendungen wiederholt und mit Hinweisen auf online einsehbare Berichte betreffend die</w:t>
      </w:r>
    </w:p>
    <w:p>
      <w:r>
        <w:t>D-4954/2025 Seite 8 aktuelle Situation im Iran ergänzt. Sodann wird darauf hingewiesen, der Umstand, dass der Beschwerdeführer aus dem Ausland beziehungsweise aus dem "Westen" in den Iran zurückreisen würde, sowie seine kurdische Ethnie stellten gewichtige Risikofaktoren dar, zumal er bereits zum Zeit- punkt seiner Flucht in den Fokus der iranischen Behörden geraten sei.</w:t>
      </w:r>
    </w:p>
    <w:p>
      <w:r>
        <w:rPr>
          <w:b/>
        </w:rPr>
        <w:t>E. 7.1</w:t>
      </w:r>
    </w:p>
    <w:p>
      <w:r>
        <w:t>Das Bundesverwaltungsgericht gelangt nach Durchsicht der Akten zum Schluss, dass die Vorinstanz das Asylgesuch des Beschwerdeführers zu Recht und mit zutreffender Begründung abgelehnt hat. Zur Vermeidung von Wiederholungen kann auf die Erwägungen in der angefochtenen Ver- fügung (vgl. dort Ziff. II) sowie auf die zusammenfassende Wiedergabe oben (E. 6.1) verwiesen werden. Den vorinstanzlichen Erwägungen wird in der Beschwerdebegründung nichts Stichhaltiges entgegengesetzt, zumal auch keine Unterlagen über die angebliche Verfolgungssituation einge- reicht werden. Insbesondere sind auch keine Hinweise ersichtlich, dass der Beschwerdeführer durch die Ereignisse der vergangenen Wochen nun- mehr ein politisches Profil erhalten hätte und er bei einer Rückkehr in den Iran einer flüchtlingsrechtlich relevanten Gefährdung ausgesetzt wäre. Schliesslich ist in Bezug auf die geltend gemachten Probleme der kurdi- schen Bevölkerung darauf hinzuweisen, dass der Anteil der Kurden an der iranischen Gesamtbevölkerung über 10% beträgt und die Provinz D._______ sowie insbesondere die Stadt H._______ und deren Umge- bung, wo der Beschwerdeführer gemäss seinen Angaben bis zur Ausreise gewohnt hat, überwiegend von Kurden bewohnt wird.</w:t>
      </w:r>
    </w:p>
    <w:p>
      <w:r>
        <w:rPr>
          <w:b/>
        </w:rPr>
        <w:t>E. 7.2</w:t>
      </w:r>
    </w:p>
    <w:p>
      <w:r>
        <w:t>Nach dem Gesagten hat das SEM mangels Asylrelevanz der Vorbrin- gen zu Recht die Flüchtlingseigenschaft des Beschwerdeführers verneint und dessen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aus dem Transitbereich des Flughafens B._______ wurde demnach ebenfalls zu Recht angeordnet (vgl. BVGE 2013/37 E. 4.4; 2009/50 E. 9, je m.w.H.).</w:t>
      </w:r>
    </w:p>
    <w:p>
      <w:r>
        <w:t>D-4954/2025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w:t>
      </w:r>
    </w:p>
    <w:p>
      <w:r>
        <w:t>D-4954/2025 Seite 10 Behandlung ausgesetzt wäre. Gemäss der Praxis des Europäischen Ge- richtshofs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Wie in der angefochtenen Verfügung zu Recht bemerkt wurde, be- gegnet der iranische Staat den seit dem Tod der kurdischen Iranerin Mahsa (Jina) Amini am 16. September 2022 an zahlreichen Orten im Land statt- findenden Kundgebungen und Aktionen oft mit voller Härte. Dennoch und auch unter Berücksichtigung der im vergangenen Monat stattgefundenen kriegerischen Auseinandersetzungen kann im jetzigen Zeitpunkt nicht von einer Situation allgemeiner Gewalt oder von Krieg gesprochen werden (vgl. auch E. 4.2.2).</w:t>
      </w:r>
    </w:p>
    <w:p>
      <w:r>
        <w:rPr>
          <w:b/>
        </w:rPr>
        <w:t>E. 9.3.3</w:t>
      </w:r>
    </w:p>
    <w:p>
      <w:r>
        <w:t>Auch in individueller Hinsicht sind keine Gründe ersichtlich, welche eine Wegweisung als unzumutbar erscheinen liessen. Der Beschwerde- führer ist jung, soweit aktenkundig gesund und hat berufliche Erfahrung in der (…) sowie im (…). Gemäss seinen Angaben sind auch die finanziellen Verhältnisse seiner nach wie vor in der Region H._______ wohnhaften Fa- milie gut.</w:t>
      </w:r>
    </w:p>
    <w:p>
      <w:r>
        <w:rPr>
          <w:b/>
        </w:rPr>
        <w:t>E. 9.3.4</w:t>
      </w:r>
    </w:p>
    <w:p>
      <w:r>
        <w:t>Demnach erweist sich der Vollzug der Wegweisung auch als zumut- bar.</w:t>
      </w:r>
    </w:p>
    <w:p>
      <w:r>
        <w:t>D-4954/2025 Seite 11</w:t>
      </w:r>
    </w:p>
    <w:p>
      <w:r>
        <w:rPr>
          <w:b/>
        </w:rPr>
        <w:t>E. 9.4</w:t>
      </w:r>
    </w:p>
    <w:p>
      <w:r>
        <w:t>Schliesslich ist der Vollzug der Wegweisung mangels aktenkundiger objektiver Hindernisse auch möglich im Sinne von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im Sinne von Art. 65 Abs. 1 VwVG ist angesichts der dargelegten Aussichts- losigkeit und ungeachtet der geltend gemachten prozessualen Bedürftig- keit abzuweisen.</w:t>
      </w:r>
    </w:p>
    <w:p>
      <w:r>
        <w:rPr>
          <w:b/>
        </w:rPr>
        <w:t>E. 11.3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D-4954/2025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