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D-4949/2014 vom 22. Oktober 2014</w:t>
      </w:r>
    </w:p>
    <w:p>
      <w:r>
        <w:t>Bundesverwaltungsgericht, 2014-10-22, DE</w:t>
      </w:r>
    </w:p>
    <w:p>
      <w:r>
        <w:rPr>
          <w:b/>
        </w:rPr>
        <w:t xml:space="preserve">Quelle: </w:t>
      </w:r>
      <w:r>
        <w:t>https://mcp.opencaselaw.ch/entscheid/bvger_D-4949_2014</w:t>
      </w:r>
    </w:p>
    <w:p>
      <w:r>
        <w:t>FR: TAF D-4949/2014 du 22 octobre 2014</w:t>
      </w:r>
    </w:p>
    <w:p>
      <w:r>
        <w:t>IT: TAF D-4949/2014 del 22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der Asylgesuche, die Feststellung des BFM, die Beschwerdeführenden erfüllten die Flüchtlingseigenschaft nicht, sowie gegen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4.5</w:t>
      </w:r>
    </w:p>
    <w:p>
      <w:r>
        <w:t>Die soeben aufgeführten Kriterien der Glaubhaftmachung sind mit Blick auf die Asylvorbringen des Beschwerdeführers nicht als erfüllt zu er­achten. Dabei ist zunächst in Übereinstimmung mit der Vorinstanz festzu­stellen, dass die Beschwerdeführenden im Rahmen ihrer Anhörungen über wesentliche Aspekte ihrer Fluchtgeschichte keine plausiblen sowie in keiner Weise mit der allgemeinen Lebenserfahrung zu vereinbarenden Angaben zu machen vermochten. Dies gilt insbesondere für die Schilde­rung des Beschwerdeführers, wonach er nach seiner ersten Ausreise aus Syrien am 23. August 2012 noch einmal nach Syrien zurückkehrte, um seine finanziellen Angelegenheiten zu regeln (vgl. BFM-Akten A16/18 S. 15 F. 115). Es ist nicht anzunehmen, dass sich eine tatsächlich ver­folgte Person allein aus finanziellen Interessen aus freien Stücken erneut der Gefahr von allfälligen Verfolgungsmassnahmen aussetzen würde. Ferner will der Beschwerdeführer gemäss seinen Angaben in Syrien an allen Demonstrationen, die in seiner Strasse stattgefunden hätten, teilge­nommen haben. Dies habe jedoch keine Konsequenzen für ihn gehabt, da er "aufgepasst" habe (vgl. A16/18 S. 6 F. 30). Vor diesem Hintergrund teilt das Gericht die Einschätzung des BFM in der angefochtenen Verfü­gung, wonach nicht davon auszugehen ist, dass der Beschwerdeführer wegen der geltend gemachten Demonstrationsteilnahmen staatlichen Verfolgungsmassnahmen ausgesetzt war. Auch die zu den Akten ge­reichte Parteibestätigung vermag zu keiner anderen Betrachtungsweise zu führen. Bezüglich der geltend gemachten Festnahme (vgl. A16/18 F. 60 f.), welche sich ungefähr zwei Monate vor der Ausreise des Beschwerdeführers zugetragen haben und aufgrund einer Anzeige, wo­nach er die Kurden unterstütze, erfolgt sein soll, ist Folgendes festzuhal­ten: Dass die syrische Regierung solchen Hinweise nachgeht, den Be­schwerdeführer befragt und anschliessend wieder freilässt, wenn keine Anhaltspunkte mehr bestehen, ist durchaus nachvollziehbar. Augenfällig ist, dass die Beschwerdeführenden die Verhaftung des Beschwerdefüh­rers, welche sich nur rund zwei Monate vor der Ausreise zugetragen ha­ben soll, bei der Kurzbefragung nicht erwähnten und bei der Anhörung er­klärten, sie seien damals nicht konkret danach befragt beziehungsweise auf die Anhörung verwiesen worden (vgl. A16/18 S. 14 F. 103 f. und A17/10 S. 8 F. 53). Diese Erklärungsversuche, die die Beschwerdeführen­den auf Beschwerdeebene wiederholen, sind jedoch unbehelflich. Die El­tern, aber auch ihre beiden ältesten Kinder, wurden auch bei der Kurzbefragung aufgefordert, ihre Asylgründe anzugeben. Auffällig ist in diesem Zusammenhang, dass die Eltern in äussert knappen Sätzen und die beiden Kinder jeweils mit einem Satz ihre Asylgründe umschrieben, und alle vier die Fragen, ob sie selbst oder ein Familienmitglied jemals Probleme mit den Behörden gehabt hätten, ausdrücklich verneinten (vgl. A3/11 S. 7 f.; A4/10 S. 7; A5/9; A6/9 S. 6). Soweit in der Beschwerde gel­tend gemacht wird, der Bruder des Beschwerdeführers sei aufgrund sei­ner exilpolitischen Tätigkeiten in der Schweiz als Flüchtling anerkannt worden, und wegen des engen Zusammenhanges und der Möglichkeit ei­ner Reflexverfolgung müssten dessen Akten zum vorliegenden Verfahren beigezogen werden, ist Folgendes festzuhalten: Der Bruder des Beschwerdeführers und dessen Familie stellten am 30. September 2009 beziehungsweise am 15. Dezember 2009 Asylgesuche, die das BFM mit Verfügung vom 15. Juni 2012 abwies. Die dagegen erhobene Be­schwerde vom 13. Juli 2012 wurde mit Urteil des Bundesverwaltungsge­richts E-3734/2012 vom 29. Januar 2013 abgewiesen. Zur Begründung wurde unter anderem ausgeführt, dass deren Asylvorbringen den Anforderungen an die Glaubhaftigkeit nicht genügten und die geltend ge­machten Nachfluchtgründe nicht geeignet seien, eine flüchtlingsrechtlich relevante Verfolgungsfurcht zu begründen (vgl. E-3734/2012 E. 5 f.). Vor diesem Hintergrund sind keinerlei Anhaltspunkte für eine allfällige Reflex­verfolgung der Beschwerdeführenden auszumachen.</w:t>
      </w:r>
    </w:p>
    <w:p>
      <w:r>
        <w:rPr>
          <w:b/>
        </w:rPr>
        <w:t>E. 4.6</w:t>
      </w:r>
    </w:p>
    <w:p>
      <w:r>
        <w:t>Aus dem Gesagten ergibt sich, dass das BFM zutreffenderweise zur Einschätzung gelangt ist, die Vorbringen der Beschwerdeführenden seien nicht glaubhaft, und die eingereichten Beweismittel könnten an dieser Feststellung nichts ändern. Die Verneinung der Flüchtlingseigenschaft und die Abweisung der Asylgesuche sind folglich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Deren Wegweisung wurde demnach zu Recht angeordnet (Art. 44 AsylG; BVGE 2009/50 E. 9 S. 733, BVGE 2008/34 E. 9.2 S. 510, EMARK 2001 Nr. 21).</w:t>
      </w:r>
    </w:p>
    <w:p>
      <w:r>
        <w:rPr>
          <w:b/>
        </w:rPr>
        <w:t>E. 5.3</w:t>
      </w:r>
    </w:p>
    <w:p>
      <w:r>
        <w:t>Die Beschwerdeführenden wurden vom BFM in der angefochtenen Verfügung wegen Unzumutbarkeit des Wegweisungsvollzugs vorläufig in der Schweiz aufgenommen, weshalb sich weitere Erörterungen erübri­gen. 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Beschwerdeführenden wegen Unzumutbarkeit des Wegweisungsvollzugs Rechnung getragen, welche mit dem vorliegenden Urteil in Kraft tritt.</w:t>
      </w:r>
    </w:p>
    <w:p>
      <w:r>
        <w:rPr>
          <w:b/>
        </w:rPr>
        <w:t>E. 6</w:t>
      </w:r>
    </w:p>
    <w:p>
      <w:r>
        <w:t>Aus den angestellten Erwägungen ergibt sich, dass die - einzig in den Punkten 1, 2 und 3 des Dispositivs angefochtene - Verfügung Bundes­recht nicht verletzt sowie den rechtserheblichen Sachverhalt richtig und vollständig feststellt (Art. 106 AsylG).</w:t>
      </w:r>
    </w:p>
    <w:p>
      <w:r>
        <w:rPr>
          <w:b/>
        </w:rPr>
        <w:t>E. 7</w:t>
      </w:r>
    </w:p>
    <w:p>
      <w:r>
        <w:t>Das Gesuch um Verzicht auf die Erhebung eines Kostenvorschusses wird mit dem vorliegenden Entscheid gegenstandslos.</w:t>
      </w:r>
    </w:p>
    <w:p>
      <w:r>
        <w:rPr>
          <w:b/>
        </w:rPr>
        <w:t>E. 8</w:t>
      </w:r>
    </w:p>
    <w:p>
      <w:r>
        <w:t>Die Gesuche um Gewährung der unentgeltlichen Rechtspflege gemäss Art. 65 Abs. 1 VwVG sowie um Gewährung des amtlichen Rechtsbei­stands gemäss Art. 110a Abs. 1 AsylG sind abzuweisen, da sich die Rechtsbegehren wegen der unglaubhaften Aussagen als von vornherein aussichtslos erwiesen haben.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