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D-4947/2025 vom 25. Juni 2025</w:t>
      </w:r>
    </w:p>
    <w:p>
      <w:r>
        <w:t>Bundesverwaltungsgericht, 2025-06-25, DE</w:t>
      </w:r>
    </w:p>
    <w:p>
      <w:r>
        <w:rPr>
          <w:b/>
        </w:rPr>
        <w:t xml:space="preserve">Quelle: </w:t>
      </w:r>
      <w:r>
        <w:t>https://mcp.opencaselaw.ch/entscheid/bvger_D-4947_2025_d20250625</w:t>
      </w:r>
    </w:p>
    <w:p>
      <w:r>
        <w:t>FR: TAF D-4947/2025 du 25 juin 2025</w:t>
      </w:r>
    </w:p>
    <w:p>
      <w:r>
        <w:t>IT: TAF D-4947/2025 del 25 giugno 2025</w:t>
      </w:r>
    </w:p>
    <w:p>
      <w:pPr>
        <w:pStyle w:val="Heading2"/>
      </w:pPr>
      <w:r>
        <w:t>Regeste</w:t>
      </w:r>
    </w:p>
    <w:p>
      <w:r>
        <w:t>Asyl und Wegweisung (beschleunigtes Verfahren) | Asyl und Wegweisung (beschleunigtes Verfahren); Verfügung des SEM vom 25. Juni 2025</w:t>
      </w:r>
    </w:p>
    <w:p>
      <w:pPr>
        <w:pStyle w:val="Heading2"/>
      </w:pPr>
      <w:r>
        <w:t>Erwägungen</w:t>
      </w:r>
    </w:p>
    <w:p>
      <w:r>
        <w:rPr>
          <w:b/>
        </w:rPr>
        <w:t>E. 25</w:t>
      </w:r>
    </w:p>
    <w:p>
      <w:r>
        <w:t>April 2025 E. 9.3.1 m.w.H.), dass das SEM zudem richtig davon ausgegangen ist, auch in individueller Hinsicht spreche nichts gegen einen Wegweisungsvollzug, zumal der Be- schwerdeführer ein junger und gesunder Mann mit Arbeitserfahrung sei, welcher seit früher Kindheit in der Hauptstadt Bamako gelebt und die Schule besucht habe, sodass davon auszugehen sei, dass er dort über ein Netz von Anknüpfungspunkten verfüge, dass der Beschwerdeführer dem in seiner Rechtsmitteleingabe entgegen- hält, dass er keine Familienmitglieder und keine Freunde in Mali habe und dort auf der Strasse stehen würde, dass es sich beim Beschwerdeführer aber um einen erwachsenen Mann mit Schulbildung und Arbeitserfahrung handelt, welcher sich auf der Reise nach Europa selbstständig durchschlagen konnte, wie schon das SEM in seiner Verfügung anmerkte, und zudem schon vor der Ausreise seit 2017 in Bamako allein bei einem Freund seines Vaters gelebt habe, während seine Familie ins Dorf zurück gegangen sei, weshalb dieses Vorbringen nicht zu überzeugen vermag, dass weiter das Vorbringen im vorinstanzlichen Verfahren, wonach der Be- schwerdeführer unter Stress und Schlafproblemen leide, sowie das Vor- bringen in der Beschwerde, die psychologische Betreuung in der Schweiz helfe ein wenig bei der Verarbeitung der schrecklichen Bilder, nicht für das Vorliegen einer medizinischen Notlage bei einer Rückkehr spricht, zumal das SEM in seiner Verfügung zu Recht festhielt, den Akten seien keine Be- lege für die in der Stellungnahme der Rechtsvertretung angeführten ernst- haften Beschwerden zu entnehmen, und solche auch mit der Beschwerde nicht nachgeliefert wurden,</w:t>
      </w:r>
    </w:p>
    <w:p>
      <w:r>
        <w:t>D-4947/2025 Seite 7 dass das SEM schliesslich auch richtig festgehalten hat, allfälligen suizida- len Tendenzen könne im Falle einer (zwangsweisen) Rückführung mit ge- eigneten Massnahmen Rechnung getragen werden,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D-4947/2025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