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D-4945/2010 vom 22. Juli 2010</w:t>
      </w:r>
    </w:p>
    <w:p>
      <w:r>
        <w:t>Bundesverwaltungsgericht, 2010-07-22, DE</w:t>
      </w:r>
    </w:p>
    <w:p>
      <w:r>
        <w:rPr>
          <w:b/>
        </w:rPr>
        <w:t xml:space="preserve">Quelle: </w:t>
      </w:r>
      <w:r>
        <w:t>https://mcp.opencaselaw.ch/entscheid/bvger_D-4945_2010</w:t>
      </w:r>
    </w:p>
    <w:p>
      <w:r>
        <w:t>FR: TAF D-4945/2010 du 22 juillet 2010</w:t>
      </w:r>
    </w:p>
    <w:p>
      <w:r>
        <w:t>IT: TAF D-4945/2010 del 22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Das Bundesverwaltungsgericht verzichtet aus prozessökonomischen Gründen auf eine Rückweisung der englischsprachigen Beschwerde zur Übersetzung in eine Amtssprache, da die (sinngemässen) Rechtsmittelanträge verständlich sowie begründet sind. Der vorliegende Entscheid ergeht indessen in deutscher Sprache (vgl. Art. 33a Abs. 2 VwVG i.V.m. Art. 6 AsylG).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2.2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3.1</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w:t>
      </w:r>
    </w:p>
    <w:p>
      <w:r>
        <w:rPr>
          <w:b/>
        </w:rPr>
        <w:t>E. 3.2</w:t>
      </w:r>
    </w:p>
    <w:p>
      <w:r>
        <w:t>Der Beschwerdeführer weist auf die in seiner Heimat erlittenen Benachteiligungen und den noch immer bestehenden behördlichen Druck auf ihn hin. Bei allem Verständnis für die Situation des Beschwerdeführers, insbesondere in Anbetracht der von behördlicher Seite angeordneten Massnahmen in den Jahren 2007 und 2008, ist mit der Vorinstanz einig zu gehen, dass angesichts seiner bedingungslosen Freilassung am 15. Juli 2008 - nachdem das Gericht seine Unschuld offensichtlich als erwiesen angesehen hatte - von behördlicher Seite nichts mehr gegen ihn vorlag. Soweit der Beschwerdeführer anführt, dass er auch nach seiner Entlassung von den Sicherheitskräften beobachtet und wiederholt kontrolliert worden sei respektive Männer in Zivil, vermutlich Angehörige der Regierung, nach ihm gefragt hätten, sind diese Sachverhaltselemente vor dem Hintergrund der Bekämpfung des Terrorismus der LTTE durch die srilankische Armee zu sehen. So haben die srilankischen Behörden - namentlich im Grossraum Colombo - die Sicherheitsmassnahmen auch nach der Niederlage der LTTE nicht gelockert. Daher laufen aufgrund der angespannten Lage in Sri Lanka Angehörige der tamilischen Volksgruppe nach wie vor Gefahr, überall und jederzeit von srilankischem Sicherheitspersonal einer minuziösen Personenkontrolle unterzogen und öfters auch für eingehendere Abklärungen auf den Posten mitgenommen oder in ein Armeecamp beordert zu werden. Derartigen Massnahmen kommt indessen bereits aufgrund ihrer Eingriffsdauer und Intensität in der Regel kein Verfolgungscharakter zu. Darüber hinaus zielen die Personenkontrollen einzig darauf ab, die Infiltrierung von LTTE-Kämpfern in die Zivilgesellschaft zu unterbinden, was in asylrechtlicher Hinsicht keine relevante Verfolgungssituation darstellt. In Bezug auf den Beschwerdeführer stellen die geschilderten Vorfälle im Nachgang zu seiner Haftentlassung am 15. Juli 2008 - entgegen der in der Beschwerdeschrift dargelegten Ansicht - somit noch keine ernsthaften Nachteile im Sinne des Gesetzes dar. So wurde er denn seither auch nie mehr verhaftet, obwohl sein Aufenthaltsort in D._______ den Behörden bekannt war. Sodann vermögen weder der Umstand, dass der Bruder des Beschwerdeführers seit dem Jahre 2004 verschollen sei, noch die Vorbringen des Beschwerdeführers, wonach verschiedene in seiner Nachbarschaft lebende Personen von den Sicherheitskräften verhaftet worden seien, er zudem im August 2008 Drohanrufe erhalten und überdies verschiedentlich weisse Vans vor seinem Haus gesehen habe, zum heutigen Zeitpunkt zu einer objektiv begründeten Furcht vor zukünftiger Verfolgung im Sinne der zu beachtenden Bestimmungen zu führen. Das Gleiche gilt auch für die lediglich subjektive Befürchtung, trotz gerichtlicher Freilassung eines Tages erneut wegen eines möglichen Verdachts der Behörden verhaftet zu werden. Überdies zeigen die Ausführungen des Beschwerdeführers - so insbesondere am Ende seiner Rechtsmitteleingabe - dass es ihm wiederholt problemlos möglich war, seinen Wohnort innerhalb D._______ zu wechseln und so behördlichen Kontrollen zu entgehen. Unter diesen Umständen vermögen die geltend gemachten Bedrohungen praxisgemäss nicht zur Anerkennung der Flüchtlingseigenschaft und zur Gewährung von Asyl zu führen.</w:t>
      </w:r>
    </w:p>
    <w:p>
      <w:r>
        <w:rPr>
          <w:b/>
        </w:rPr>
        <w:t>E. 3.3</w:t>
      </w:r>
    </w:p>
    <w:p>
      <w:r>
        <w:t>Bei dieser Sachlage und in Würdigung der gesamten Umstände und Vorbringen des Beschwerdeführers ist zusammenfassend festzustellen, dass er die Voraussetzungen für die Bewilligung der Einreise nicht erfüllt. Es erübrigt sich, auf die weiteren Ausführungen in der Beschwerde und die eingereichten Beweismittel im Einzelnen näher einzugehen, da sie am Ergebnis nichts zu ändern vermögen, zumal die Glaubhaftigkeit der Sachverhaltsvorbringen auch vom BFM nicht in Frage gestellt wurde. Die Vorinstanz hat daher die Einreise des Beschwerdeführers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