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D-4944/2009 vom 28. Februar 2012</w:t>
      </w:r>
    </w:p>
    <w:p>
      <w:r>
        <w:t>Bundesverwaltungsgericht, 2012-02-28, FR</w:t>
      </w:r>
    </w:p>
    <w:p>
      <w:r>
        <w:rPr>
          <w:b/>
        </w:rPr>
        <w:t xml:space="preserve">Quelle: </w:t>
      </w:r>
      <w:r>
        <w:t>https://mcp.opencaselaw.ch/entscheid/bvger_D-4944_2009</w:t>
      </w:r>
    </w:p>
    <w:p>
      <w:r>
        <w:t>FR: TAF D-4944/2009 du 28 février 2012</w:t>
      </w:r>
    </w:p>
    <w:p>
      <w:r>
        <w:t>IT: TAF D-4944/2009 del 28 febbraio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A._______, agissant pour elle-même et sa fille,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 jurisprudence de l'ancienne Commission suisse de recours en matière d'asile (cf. Jurisprudence et informations de la Commission suisse de recours en matière d'asile [JICRA] 2006 n° 18 consid. 10) dont il n'y a pas lieu de s'écarter, une persécution au sens de l'art. 3 LAsi peut aussi être le fait de tiers, lorsque l'Etat n'entreprend rien pour l'empêcher ou pour sanctionner leurs auteurs, que ce soit parce qu'il tolère voire soutient de tels agissements ou, sans intention délibérée de nuire, parce qu'il n'a pas la capacité de les prévenir. L'Etat n'est toutefois pas tenu de garantir une protection absolue à tous ses citoyens et en tous lieux, mais la protection doit revêtir un caractère effectif et la victime disposer d'un accès raisonnable à cette protection. Autrement dit, le principe de la subsidiarité de la protection internationale par rapport à la protection nationale permet d'exiger d'un requérant d'asile qu'il ait épuisé dans son propre pays les possibilités de protection contre d'éventuelles persécutions avant de solliciter celle d'un Etat tiers.</w:t>
      </w:r>
    </w:p>
    <w:p>
      <w:r>
        <w:rPr>
          <w:b/>
        </w:rPr>
        <w:t>E. 3.2</w:t>
      </w:r>
    </w:p>
    <w:p>
      <w:r>
        <w:t>En l'occurrence, indépendamment de la réalité du viol dont elle aurait prétendument été victime dans la nuit du 17 au 18 avril 2009, la recourante n'a apporté aucun élément de preuve qui démontrerait que les autorités en place n'entreprendraient rien pour en retrouver les auteurs, ni qu'elles lui refuseraient toute protection contre de nouvelles infractions. En effet, force est de constater que la police est intervenue au domicile familial suite à cette agression. N'est pas décisif le fait que l'enquête n'avance guère (cf. le recours, p. 6 i.f.) et que les coupables n'aient pas encore été arrêtés et, par conséquent, jugés. Seule compte en effet la volonté des autorités de les retrouver et de les traduire en justice, laquelle n'est aujourd'hui plus contestable (cf. notamment arrêt du Tribunal administratif fédéral E-554/2011 du 25 janvier 2011 et les réf. cit.), au point que le Conseil fédéral a, en date du 6 mars 2009 avec effet au 1er avril suivant, déclaré la Serbie Etat sûr, rang auquel seul peut être élevé un Etat assurant le respect des droits de l'homme, ainsi que l'application des conventions internationales conclues dans ce domaine. Enfin, l'Etat et ses organes ne sauraient être tenus de garantir à tout moment une protection totale et une sécurité absolue à ses citoyens, notamment à ses minorités, car seul compte la volonté des autorités de protéger leurs administrés.</w:t>
      </w:r>
    </w:p>
    <w:p>
      <w:r>
        <w:rPr>
          <w:b/>
        </w:rPr>
        <w:t>E. 3.3</w:t>
      </w:r>
    </w:p>
    <w:p>
      <w:r>
        <w:t>S'agissant encore des autres insultes et offenses dont la recourante aurait été régulièrement victime, elles ne constituent pas, en l'espèce, des atteintes à la liberté d'une intensité suffisante pour constituer un sérieux préjudice au sens de l'art. 3 LAsi (JICRA 1994 no 17 consid. 3a p. 134 ; Walter Stöckli, Asyl, in : Peter Uebersax / Beat Rudin / Thomas Hugi Yar / Thomas Geiser [Hrsg.] Ausländerrecht, Handbücher für die Anwaltspraxis, Band VIII, 2ème éd., Bâle 2009, p. 530, ch. 11.14 s. et réf. cit. ; Minh Son Nguyen, Droit public des étrangers, Berne 2003, p. 421 ; Achermann / Hausammann, Handbuch des Asylrechts, Berne / Stuttgart 1991, p. 77 ss ; Walter Kälin, Grundriss des Asylverfahrens, Bâle / Francfort-sur-le-Main 1990, p. 42 ss). De surcroît, la recourante ne saurait se prévaloir d'un manque de protection des autorités, dès lors qu'elle n'a apparemment entrepris aucune démarche auprès d'elles pour faire cesser dites atteintes.</w:t>
      </w:r>
    </w:p>
    <w:p>
      <w:r>
        <w:rPr>
          <w:b/>
        </w:rPr>
        <w:t>E. 3.4</w:t>
      </w:r>
    </w:p>
    <w:p>
      <w:r>
        <w:t>Enfin, les motifs liés à des conditions de vie difficile et à l'absence de perspective d'avenir (cf. le recours, sous "possibilité de fuite interne", p. 7 s., ainsi que le courrier du 7 mars 2010 et ses annexes cités sous let. I ci-dessus) ne sont pas pertinents en matière d'asile. En effet, de tels motifs sont étrangers à la définition du réfugié, telle que prévue exhaustivement à l'art. 3 LAsi.</w:t>
      </w:r>
    </w:p>
    <w:p>
      <w:r>
        <w:rPr>
          <w:b/>
        </w:rPr>
        <w:t>E. 3.5</w:t>
      </w:r>
    </w:p>
    <w:p>
      <w:r>
        <w:t>Partant, les faits - même vraisemblables - allégués par A._______ à l'appui de sa demande de protection en Suisse ne sont pas pertinents en matière d'asile. Il n'y a donc pas lieu d'examiner encore si cette dernière pourrait bénéficier ou non d'une possibilité de refuge interne. Quant aux moyens de preuve déposés (certificats médicaux délivrés en Serbie et en Suisse, contrat de vente de la maison), ils ne sont pas décisifs, dès lors que les faits qu'ils sont censés établir ne sont quoi qu'il en soit pas pertinents.</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elle ou sa fille,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[Cour EDH], arrêt F.H. c. Suède, no 32621/06, 20 janvier 2009, et arrêt Saadi c. Italie, no 37201/06, 28 février 2008).</w:t>
      </w:r>
    </w:p>
    <w:p>
      <w:r>
        <w:rPr>
          <w:b/>
        </w:rPr>
        <w:t>E. 6.5</w:t>
      </w:r>
    </w:p>
    <w:p>
      <w:r>
        <w:t>En l'occurrence, la recourante n'a pas établi qu'un tel risque pèse sur elle ou sa fille (cf. consid. 3 supra).</w:t>
      </w:r>
    </w:p>
    <w:p>
      <w:r>
        <w:rPr>
          <w:b/>
        </w:rPr>
        <w:t>E. 6.6</w:t>
      </w:r>
    </w:p>
    <w:p>
      <w:r>
        <w:t>Dès lors, l'exécution du renvoi de celles-ci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 ATAF 2007/10 consid. 5.1 p. 111 ;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w:t>
      </w:r>
    </w:p>
    <w:p>
      <w:r>
        <w:t>En l'espèce, il est notoire que la Serbie ne connaît pas une situation de guerre, de guerre civile ou de violence généralisée sur l'ensemble de son territoire qui permettrait d'emblée - et indépendamment des circonstances du cas d'espèce - de présumer, à propos de tous ses ressortissants, l'existence d'une mise en danger concrète au sens de l'art. 83 al. 4 LEtr.</w:t>
      </w:r>
    </w:p>
    <w:p>
      <w:r>
        <w:rPr>
          <w:b/>
        </w:rPr>
        <w:t>E. 7.3</w:t>
      </w:r>
    </w:p>
    <w:p>
      <w:r>
        <w:t>En ce qui concerne plus particulièrement la situation des Roms de Serbie, en dépit des efforts importants entrepris par les autorités pour promouvoir l'égalité sociale des membres de cette minorité, ceux-ci sont toujours la cible de diverses discriminations, notamment dans les domaines du logement, de l'éducation, du travail, et de la santé. De fait, un grand nombre de Roms vivent dans des conditions de grande pauvreté et sont en outre largement touchés par le chômage (cf. Commission of the European Communities, Serbia 2009 Progress Report, Bruxelles, 14 octobre 2009, section 2.2, p. 13 ss ; Helsinki Committee for Human Rights in Serbia, Annual Report : Serbia 2008, Belgrade 2009, p. 387 ss ; Home Office, UK Border Agency, Operational Guidance Note, Serbia, 1er septembre 2008, ch. 3.6, p. 3 ss ; US Department of State, Country Reports on Human Rights Practices 2008, spéc. section 5 sous "National / Racial / Ethnic Minorities"; Country of Return Information Project, country sheet Serbia, août 2007 ; Christian Bodewig / Akshay Sethi, Poverty, Social Exclusion and Ethnicity in Serbia and Montenegro : The case of the Roma, octobre 2005, p. 1 ss et p.19 ss).</w:t>
      </w:r>
    </w:p>
    <w:p>
      <w:r>
        <w:rPr>
          <w:b/>
        </w:rPr>
        <w:t>E. 7.4</w:t>
      </w:r>
    </w:p>
    <w:p>
      <w:r>
        <w:t>Toutefois, cette situation, bien qu'insatisfaisante, n'est pas de nature, en l'espèce, à exposer la recourante et sa fille à une mise en danger concrète et donc à faire obstacle à l'exécution de leur renvoi. En effet, A._______ est jeune et dispose d'un réseau familial dans son pays d'origine. Elle pourra aussi compter sur le soutien de ses parents et de son frère aîné qui doivent aussi quitter la Suisse (cf. arrêts du Tribunal administratif fédéral D-4945/2009 et D-4946/2006). En outre, il ne ressort pas du rapport médical du 8 septembre 2009 cité sous let. F ci-dessus (cf. également l'attestation citée sous let. I) qu'elle souffre d'une affection d'une gravité telle qu'un retour en Serbie serait de manière certaine de nature à mettre concrètement et sérieusement en danger sa vie ou sa santé à brève échéance, respectivement que son état nécessite impérativement des traitements médicaux ne pouvant être poursuivis qu'en Suisse, sous peine d'entraîner de telles conséquences (cf. JICRA 2003 n° 24 précitée). En effet, il n'est pas question, dans ce rapport, d'un traitement stationnaire, mais exclusivement d'une prescription médicamenteuse, étant encore précisé que la recourante a refusé (cf. le rapport précité du 8 septembre 2009, ch. 3.2 et 3.3) de prendre part à des entretiens psychothérapeutiques. En tout état de cause, et bien que cela ne soit pas décisif pour l'issue de la cause, vu ce qui précède, force est de relever que les structures médicales existent en Serbie, y compris pour le traitement de graves maladies psychiques (cf. arrêts du Tribunal administratif fédéral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Dans son pays d'origine, où elle a déjà reçu des soins (cf. le pv de l'audition du 11 juin 2009, questions 70 s. et 87, p. 10 s.), A._______ pourra, le cas échéant, poursuivre le suivi médical mis en place en Suisse et avoir accès à des traitements pointus si son état de santé devait s'aggraver. Enfin, en vertu de la liberté d'établissement qui est la sienne, elle pourra s'installer, si elle le préfère, dans une autre région de la Serbie. Peu importe à cet égard qu'elle n'ait pas de famille dans la région où elle choisirait de vivre, ses proches pouvant l'aider, financièrement notamment, depuis leur lieu de séjour.</w:t>
      </w:r>
    </w:p>
    <w:p>
      <w:r>
        <w:rPr>
          <w:b/>
        </w:rPr>
        <w:t>E. 7.5</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sa fille. L'exécution du renvoi ne se heurte donc pas à des obstacles insurmontables d'ordre technique et s'avère également possible (art. 83 al. 2 LEtr ; ATAF 2008/34 consid. 12). 9.1. Cela étant, l'exécution du renvoi doit être déclarée conforme aux dispositions légales. 9.2. Il s'ensuit que le recours, en tant qu'il conteste la décision de renvoi et son exécution, doit être également rejeté.</w:t>
      </w:r>
    </w:p>
    <w:p>
      <w:r>
        <w:rPr>
          <w:b/>
        </w:rPr>
        <w:t>E. 10</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 demande d'assistance judiciaire partielle déposée simultanément au recours est admise (art. 65 al. 1 PA), dès lors que l'indigence de la recourante est établie et que les conclusions du recours, au moment de son dépôt, n'étaient pas vouées à l'échec, s'agissant en particulier du caractère exigible de l'exécution du renvoi. Il est donc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