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D-4943/2006 vom 8. Juli 2008</w:t>
      </w:r>
    </w:p>
    <w:p>
      <w:r>
        <w:t>Bundesverwaltungsgericht, 2008-07-08, DE</w:t>
      </w:r>
    </w:p>
    <w:p>
      <w:r>
        <w:rPr>
          <w:b/>
        </w:rPr>
        <w:t xml:space="preserve">Quelle: </w:t>
      </w:r>
      <w:r>
        <w:t>https://mcp.opencaselaw.ch/entscheid/bvger_D-4943_2006</w:t>
      </w:r>
    </w:p>
    <w:p>
      <w:r>
        <w:t>FR: TAF D-4943/2006 du 8 juillet 2008</w:t>
      </w:r>
    </w:p>
    <w:p>
      <w:r>
        <w:t>IT: TAF D-4943/2006 del 8 luglio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Verfahren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Flüchtlingen wird kein Asyl gewährt, wenn sie erst durch ihre Ausreise aus dem Heimat- oder Herkunftsstaat oder wegen ihres Verhaltens nach der Ausreise Flüchtlinge im Sinne von Art 3 AsylG wurden (Art. 54 AsylG).</w:t>
      </w:r>
    </w:p>
    <w:p>
      <w:r>
        <w:rPr>
          <w:b/>
        </w:rPr>
        <w:t>E. 4.1</w:t>
      </w:r>
    </w:p>
    <w:p>
      <w:r>
        <w:t>In der Rechtsmitteleingabe wird gerügt, dem Beschwerdeführer sei die Flüchtlingseigenschaft zu Unrecht nicht zuerkannt worden. Er habe sich hier in der Schweiz aktiv politisch betätigt. Er sei Mitglied der KINJIT, engagiere sich aktiv für die Demokratisierung Äthiopiens und pflege enge Kontakte zu oppositionellen Exiläthiopiern und Exiläthiopierinnen, weshalb subjektive Nachfluchtgründe vorlägen.</w:t>
      </w:r>
    </w:p>
    <w:p>
      <w:r>
        <w:rPr>
          <w:b/>
        </w:rPr>
        <w:t>E. 4.2</w:t>
      </w:r>
    </w:p>
    <w:p>
      <w:r>
        <w:t>Gemäss Erkenntnissen des Bundesverwaltungsgerichts ist zwar davon auszugehen, dass die äthiopischen Sicherheitsbehörden die Aktivitäten der jeweiligen Exilgemeinschaften in einem gewissen Ausmass überwachen und mittels elektronischer Datenbanken registrieren. Unter diesen Umständen besteht eine hohe Wahrscheinlichkeit dafür, dass Auslandsaktivitäten von Personen, welche erkennbar in der CUDP aktiv waren oder auch nur mit ihr sympathisierten und individuell identifiziert werden könnten, im Falle einer Zwangsrückschaffung dem äthiopischen Sicherheitsdienst am Flughafen bekannt würden. Es dürfte davon auszugehen sein, dass die äthiopischen Sicherheitsorgane eine zwangsweise aus dem Ausland zurückgeführte Person, die Anhänger oder Mitglied der Auslands-CUD(P) war, nach wie vor als zu verfolgenden Gegner der Regierung ansehen würden, solange von dieser Person vor ihrer Ausreise aus dem jeweiligen Gastland kein eindeutiges Bekenntnis zur verfassungsmässigen Ordnung Äthiopiens und eine klare Abkehr von der bisherigen Politik der Auslands-CUD(P) vorliegt. Angesichts der 2007 in Äthiopien erfolgten Amnestie von einigen Mitgliedern der CUDP und der nicht unerschöpflichen Ressourcen des äthiopischen Nachrichtendienstes mag sich die Frage nach der aktuellen Überwachungsdichte in der Schweiz stellen, welche indes in casu offen bleiben kann. Von Bedeutung ist vorliegend die tatsächliche Erkennbarkeit der behaupteten exilpolitischen Tätigkeit, die Individualisierbarkeit des Beschwerdeführers sowie dessen konkrete exilpolitische Tätigkeit. Ein exponierter exilpolitischer Einsatz des Beschwerdeführers, der ihn ins Zentrum des Interesses des äthiopischen Nachrichtendienstes rücken könnte, ist aufgrund der vorliegenden Akten zu verneinen. So wird zwar in der Beschwerde einerseits auf die bereits beim BFM eingereichten Unterlagen hingewiesen, es wird anderseits auch ein Bericht des US Departement of State zitiert und auf den Jahresbericht von Human Rights (Human Rights Watch, Country Summary Ethiopia, January 2006) verwiesen sowie ein Papier von Amnesty International beigelegt (Position von Amnesty International zur Wegweisung von abgewiesenen Asylsuchenden nach Äthiopien und Eritrea und zur Situation von äthiopischen und eritreischen Asylsuchenden in der Schweiz, Bern 15. Juni 2006). Diese Dokumente sind aber alle allgemeiner Natur und weisen keinen konkreten Bezug zum Beschwerdeführer auf. In diesem Zusammenhang ist festzuhalten, dass bei behaupteten subjektiven Nachfluchtgründen in der Regel ein strikter Beweis erforderlich ist (vgl. Walter Stöckli, Asyl, in: Peter Uebersax/Peter Münch/Thomas Geiser/Martin Arnold {Hrsg.} Ausländerrecht, Handbücher für die Anwaltspraxis, Band VIII, Basel u.a. 2002, S. 365 Rz. 8.125). Dokumente, welche den Beschwerdeführer - wie behauptet - als erkennbares aktives Mitglied der KINJIT/CUDP oder mindestens als individualiserbaren Sympathisant bestätigen würden, wurden bis dato nicht eingereicht. Bezüglich der beim BFM eingereichten Bestätigung des "CUDP support committee in Switzerland" (Kinjit) vom 20. August 2006 kann auf die zutreffenden Erwägungen in der angefochtenen Verfügung verwiesen werden. Entgegen den anderslautenden Ausführungen in der Beschwerdeschrift, ist es deshalb unwahrscheinlich, dass die äthiopischen Sicherheitsbehörden über die Mitgliedschaft des Beschwerdeführers bei der CUDP informiert sind. Das BFM führt denn auch in seiner Vernehmlassung vom 24. August 2007 aus, dass die äthiopischen Behörden nur dann ein Interesse an der Identifizierung einer Person haben, wenn deren Aktivitäten als konkrete Bedrohung für das politische System wahrgenommen werden. Für die Annahme, der Beschwerdeführer habe sich in dieser besonderen Art und Weise betätigt, bestünden keine Anhaltspunkte. Er gehöre mit Sicherheit nicht zur Zielgruppe des "harten Kerns" von aktiven oppositionellen Äthiopiern im Ausland, für die sich die äthiopischen Behörden interessierten. Dieser Beurteilung schliesst sich das Bundesverwaltungsgericht an, zumal der Beschwerdeführer im ersten Asylverfahren keine Verfolgung im Sinne von Art. 3 AsylG glaubhaft machen konnte. Vorliegend ist vielmehr darauf zu schliessen, dass die exilpolitischen Aktivitäten sich lediglich in Demonstrationsteilnahmen und Kontaktaufnahmen ohne weitergehende Tätigkeiten erschöpft haben. Nach diesem geringfügigen Engagement ist jedoch im vorliegenden Fall - entgegen anderer Behauptung in der Beschwerde sowie in der Replik - nicht davon auszugehen, dass der Beschwerdeführer, welcher im Übrigen in seiner Heimat bezeichnenderweise nicht politisch aktiv gewesen ist (vgl. B12/S. 2) und sich offenbar für politische Belange auch nicht interessierte (vgl. A7/ S. 12), bei einer Rückkehr in sein Heimatland eine asylrechtlich relevante Gefährdung zu befürchten hat. Es dürfte den äthiopischen Behörden aufgefallen sein, dass die exilpolitische Betätigung vieler äthiopischer Asylbewerber nach der Ablehnung ihrer Asylgesuche regelmässig drastisch zunimmt respektive intensiver wird oder überhaupt erst ab diesem Zeitpunkt einsetzt, was das geltend gemachte politische Engagement als zweifelhaft erscheinen lässt. Im vorliegenden Verfahren fehlen jegliche Hinweise darauf, dass gegen den Beschwerdeführer aufgrund der vorgebrachten Aktivitäten in Äthiopien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Subjektive Nachfluchtgründe im Sinne von Art. 54 AsylG liegen demnach nicht vor, weshalb die Vorinstanz zu Recht die Flüchtlingseigenschaft des Beschwerdeführers verneint hat. Die erhobene Rüge erweist sich als unbegründet.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5.2.1</w:t>
      </w:r>
    </w:p>
    <w:p>
      <w:r>
        <w:t>Der Beschwerdeführer macht unter anderem geltend, Vater eines am 4. Juli 2006 geborenen Mädchens zu sein, dessen Mutter äthiopische Staatsangehörige sei und im Kanton (...) über eine Aufenthaltsbewilligung B verfüge. Im Verlauf des Asylverfahrens belegte der Beschwerdeführer diese Tatsache mit einem Urteil des Kantonsgerichts (...) vom 21. Februar 2008. Der Beschwerdeführer macht des Weiteren geltend, er beabsichtige nicht, die Mutter des Kindes zu heiraten, er möchte sich jedoch an der Erziehung seiner Tochter beteiligen und beruft sich unter anderem auf den Anspruch auf Familieneinheit.</w:t>
      </w:r>
    </w:p>
    <w:p>
      <w:r>
        <w:rPr>
          <w:b/>
        </w:rPr>
        <w:t>E. 5.2.2</w:t>
      </w:r>
    </w:p>
    <w:p>
      <w:r>
        <w:t>Gemäss Art. 44 Abs. 1 AsylG hat das BFM bei der Anordnung des Vollzugs der Wegweisung den Grundsatz der Einheit der Familie zu beachten. Die Bestimmung von Art. 44 Abs. 1 AsylG geht, wie bereits in Entscheidungen und Mitteilungen der Schweizerischen Asylrekurskommission [EMARK] 1995 Nr. 24 festgestellt wurde, über die Tragweite von Art. 8 der Konvention vom 4. November 1950 zum Schutze der Menschenrechte und Grundfreiheiten (EMRK, SR 0.101) hinaus und beinhaltet, dass die vorläufige Aufnahme des einen Familienmitglieds "in der Regel" auch zur vorläufigen Aufnahme dessen Familie führt. In personeller Hinsicht umfasst der Begriff der Familie dabei den Ehepartner und die minderjährigen Kinder, wobei der in dauerhafter eheähnlicher Gemeinschaft lebende Partner dem Ehepartner gleichzustellen ist (EMARK 1995 Nr. 24 E. 7 S. 227). Art. 44 Abs. 1 AsylG kommt in diesem Zusammenhang eine Tragweite zu, die über die aus Art. 8 EMRK abgeleiteten Rechtsansprüche auf Erteilung einer Aufenthaltsbewilligung hinausgeht, indem die vorläufige Aufnahme des einen Familienmitglieds in der Regel auch zur vorläufigen Aufnahme der anderen Familienangehörigen führt (vgl. hierzu EMARK 1998 Nr. 31 E. 8 c ee S. 258; 1995 Nr. 24 E. 9 S. 229, die sich hierfür freilich noch auf Art. 17 Abs. 1 AsylG in der Fassung gemäss Ziff. I des BB vom 22. Juni 1990 über das Asylverfahren [AS 1990 938], welcher inhaltlich indessen Art. 44 Abs. 1 AsylG entspricht, beziehen). Bezüglich des geltend gemachten Anspruchs auf Einheit der Familie ist festzustellen, dass ein solcher auf Art. 44 Abs. 1, 2. Halbsatz AsylG basierender Anspruch besteht, solange das Verfahren des Ehegatten nicht abgeschlossen ist beziehungsweise dieser über ein mit dem Asylverfahren im Zusammenhang stehendes Anwesenheitsrecht verfügt (vgl. EMARK 1995 Nr. 24 E. 11b zweites Lemma S. 232, 1998 Nr. 31; EMARK 1999 Nr. 1; EMARK 2002 Nr. 7). Vorliegend verfügen die vom Beschwerdeführer getrennt lebende Kindsmutter und das gemeinsame Kind jedoch nicht über ein aus dem Asylrecht abgeleitetes Anwesenheitsrecht, weshalb sich der Beschwerdeführer nicht auf den Grundsatz der Einheit der Familie gemäss Art. 44 Abs. 1 AsylG berufen kann. Der Beschwerdeführer verfügt jedenfalls - wie nachstehend ausgeführt wird -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6.3.1</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6.3.2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E.6 a S. 122, mit weiteren Hinweisen; EGMR, Bensaid gegen Grossbritannien, Urteil vom 6. Februar 2001, Recueil des arrêts et décisions 2001-I, S. 327 ff.). Dies ist vorliegend aufgrund der unglaubhaften Vorbringen zu verneinen. Auch die allgemeine Menschenrechtssituation im Heimatstaat lässt den Wegweisungsvollzug zum heutigen Zeitpunkt klarerweise nicht als unzulässig erscheinen.</w:t>
      </w:r>
    </w:p>
    <w:p>
      <w:r>
        <w:rPr>
          <w:b/>
        </w:rPr>
        <w:t>E. 6.3.3</w:t>
      </w:r>
    </w:p>
    <w:p>
      <w:r>
        <w:t>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 bundesgerichtliche Rechtsprechung zu Art. 8 EMRK massgeblich. Ist ein grundsätzlicher Anspruch auf Erteilung einer Aufenthaltsbewilligung zu bejahen, fällt die konkrete Beurteilung des geltend gemachten Anspruchs und damit auch der Entscheid über die Wegweisung in die Zuständigkeit der fremdenpolizeilichen Behörden. Hat die asylsuchende Person die zuständige fremdenpolizeiliche Behörde mit einem Gesuch um Erteilung einer Aufenthaltsbewilligung befasst, so hat das BFM nach Ablehnung des Asylgesuchs keine Wegweisung zu verfügen beziehungsweise das Bundesverwaltungsgericht eine vom BFM angeordnete Wegweisung aufzuheben, sofern die Asylbehörde gestützt auf eine vorfrageweise Prüfung zum Schluss gelangt, dass die asylsuchende Person grundsätzlich einen Anspruch auf Erteilung einer Aufenthaltsbewilligung im oben umschriebenen Sinne hat. Hat die im ausländerrechtlichen Verfahren zuständige Behörde über das Gesuch um Erteilung einer Aufenthaltsbewilligung entschieden und dabei das Bestehen eines Anspruchs verneint, haben sich die Asylbehörden bei der Prüfung der Zulässigkeit des Wegweisungsvollzugs nicht mehr mit Art. 8 EMRK zu befassen (vgl. EMARK 2001 Nr. 21). In casu hat sich keine Ausländerbehörde mit dem Fall befasst, weshalb für eine vorfrageweise Prüfung durch das Bundesverwaltungsgericht Raum bleibt.</w:t>
      </w:r>
    </w:p>
    <w:p>
      <w:r>
        <w:rPr>
          <w:b/>
        </w:rPr>
        <w:t>E. 6.3.4</w:t>
      </w:r>
    </w:p>
    <w:p>
      <w:r>
        <w:t>Das Bundesgericht anerkennt in seiner mit BGE 109 Ib 183 ff. eingeleiteten und seither bestätigten Rechtsprechung, dass Art. 8 EMRK unter gewissen Voraussetzungen einem Ausländer einen - nur unter den Voraussetzungen von Art. 8 Abs. 2 EMRK beschränkbaren - Anspruch auf eine Anwesenheitsberechtigung in der Schweiz verleiht. Die Berufung auf die Bestimmung von Art. 8 EMRK setzt indessen nach der Rechtsprechung des Bundesgerichts voraus, dass ein Familienmitglied in der Schweiz ein gefestigtes Anwesenheitsrecht - die schweizerische Staatsangehörigkeit, die Niederlassungsbewilligung oder eine Aufenthaltsbewilligung, auf deren Verlängerung ein Anspruch besteht, - besitzt (BGE 130 II 281 E. 3.1 S. 285 f., BGE 129 II 193 E. 5.3.1 S. 211, BGE 126 II 335 E. 2a S. 339 f., BGE 126 II 377 E. 2b S. 382 ff., BGE 125 II 633 E. 2e S. 639, BGE 124 II 361 E. 1b S. 364. Diese Rechtsprechung wurde in BGE 133 II 6 fortgeführt, wo sich das Bundesgericht mit der diesbezüglichen Rechtsprechung des Europäischen Gerichtshofes für Menschenrechte (EGMR), insbesondere mit den Urteilen Tuquabo-Tekle und andere v. Niederland (Nr. 60665/00, Urteil vom 1. Dezember 2005) sowie Sen v. Niederlande (Nr. 31465/96, Urteil vom 21. Dezember 2001) auseinandersetzte und im Ergebnis festhielt, dass die bundesgerichtlichen Prüfungskriterien der Strassburger Rechtsprechung standhielten (vgl. BGE 133 II 6 E. 5.2 - 5.3 S. 17 f.).</w:t>
      </w:r>
    </w:p>
    <w:p>
      <w:r>
        <w:rPr>
          <w:b/>
        </w:rPr>
        <w:t>E. 6.3.5</w:t>
      </w:r>
    </w:p>
    <w:p>
      <w:r>
        <w:t>Wie das BFM in der angefochten Verfügung bereits zu Recht festgestellt hat, kann sich eine Person nur dann auf Art. 8 Ziffer 1 EMRK berufen, wenn einerseits die familiäre Beziehung gelebt wird sowie intakt ist und andererseits sich die Beziehung auf eine nah verwandte Person mit gefestigten Anwesenheitsrecht (Bürgerrecht oder Niederlassungsrecht) bezieht. Eine Aufenthaltsbewilligung reicht nur dann aus, wenn ein gesetztlicher Anspruch auf Erteilung und Verlängerung der Bewilligung besteht. In casu sind diese Bedingungen jedoch nicht erfüllt, da weder die Kindsmutter noch das gemeinsame Kind über ein gefestigtes Anwesenheitsrecht in der Schweiz im Sinne der bundesgerichtlichen Rechtsprechung verfügen. Der Beschwerdeführer kann sich deshalb nicht auf Art. 8 Ziff. 1 EMRK berufen. Zudem liegt keine enge familiäre Beziehung vor, lebt doch der Beschwerdeführer im Kanton (...), die Kindsmutter und das gemeinsame Kind hingegen im Kanton (...), wobei letztendlich die Frage nach der Intensität der Vater-Tochter-Beziehung mangels eines Rechtsanspruches offen bleiben kann.</w:t>
      </w:r>
    </w:p>
    <w:p>
      <w:r>
        <w:rPr>
          <w:b/>
        </w:rPr>
        <w:t>E. 6.3.6</w:t>
      </w:r>
    </w:p>
    <w:p>
      <w:r>
        <w:t>Der Beschwerdeführer kann somit weder aus Art. 44 Abs. 1 AsylG noch aus Art. 8 EMRK etwas zu seinen Gunsten ableiten, weshalb der Vollzug der Wegweisung sowohl im Sinne der Asyl- als auch der völkerrechtlichen Bestimmungen zulässig ist.</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In konstanter Praxis wird von einer grundsätzlichen Zumutbarkeit des Wegweisungsvollzugs nach Äthiopien ausgegangen (vgl. bereits EMARK 1998 Nr. 22). Der zweieinhalb Jahre dauernde Grenzkrieg zwischen Äthiopien und Eritrea wurde im Juni 2000 mit einem von der Organisation für die Einheit Afrikas (OAU) vermittelten Waffenstillstand und einem von beiden Staaten am 12. Dezember 2000 unterzeichneten Friedensabkommen beendet. 4'500 Blauhelm-Soldaten der UNO kontrollierten seither die Grenze zwischen Äthiopien und Eritrea, wobei diese aber ein sporadisches Wiederaufflackern des Grenzkonfliktes nicht verhindern konnten. Immerhin scheinen aber sowohl Äthiopien als auch Eritrea den Schiedsspruch der hierfür eingesetzten internationalen Kommission, welcher am 13. April 2002 ergangen ist, grundsätzlich zu akzeptieren. Insgesamt kann jedenfalls nicht von einer qualitativen Verschlechterung der allgemeinen Lage in Äthiopien gesprochen werden.</w:t>
      </w:r>
    </w:p>
    <w:p>
      <w:r>
        <w:rPr>
          <w:b/>
        </w:rPr>
        <w:t>E. 6.4.2</w:t>
      </w:r>
    </w:p>
    <w:p>
      <w:r>
        <w:t>Bei einer Gesamtwürdigung der aktuellen Situation in Äthiopien bestehen keine Hinweise darauf, dass der junge und offenbar gesunde Beschwerdeführer, welche eigenen Angaben zufolge über eine zwölfjährige Schulbildung verfügt, in Äthiopien einer konkreten Gefährdung im Sinne von Art. 83 Abs. 4 AuG ausgesetzt sein könnte. Es ist ihm zuzumuten, sich erneut in seinem Kulturkreis niederzulassen und dort eine neue Existenz aufzubauen. Zudem leben eigenen Angaben zufolge die Eltern und sechs Geschwister, somit zahlreiche Verwandte in Äthiopien, weshalb er bei einer Rückkehr dorthin nicht auf sich allein gestellt ist.</w:t>
      </w:r>
    </w:p>
    <w:p>
      <w:r>
        <w:rPr>
          <w:b/>
        </w:rPr>
        <w:t>E. 6.4.3</w:t>
      </w:r>
    </w:p>
    <w:p>
      <w:r>
        <w:t>Nach dem Gesagten erweist sich Vollzug der Wegweisung auch als zumutbar.</w:t>
      </w:r>
    </w:p>
    <w:p>
      <w:r>
        <w:rPr>
          <w:b/>
        </w:rPr>
        <w:t>E. 6.5</w:t>
      </w:r>
    </w:p>
    <w:p>
      <w:r>
        <w:t>Grundsätzlich obliegt es dem Beschwerdeführer, sich bei der zuständigen Vertretung des Heimatstaates die für eine Rückkehr notwendigen Reisedokumente zu beschaffen (Art. 8 Abs. 4 AsylG). Im vorliegenden Fall konnte [die zuständige kantonale Behörde] bereits im Sommer 2006 Papiere beschaffen,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