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D-4939/2008 vom 9. November 2010</w:t>
      </w:r>
    </w:p>
    <w:p>
      <w:r>
        <w:t>Bundesverwaltungsgericht, 2010-11-09, DE</w:t>
      </w:r>
    </w:p>
    <w:p>
      <w:r>
        <w:rPr>
          <w:b/>
        </w:rPr>
        <w:t xml:space="preserve">Quelle: </w:t>
      </w:r>
      <w:r>
        <w:t>https://mcp.opencaselaw.ch/entscheid/bvger_D-4939_2008</w:t>
      </w:r>
    </w:p>
    <w:p>
      <w:r>
        <w:t>FR: TAF D-4939/2008 du 9 novembre 2010</w:t>
      </w:r>
    </w:p>
    <w:p>
      <w:r>
        <w:t>IT: TAF D-4939/2008 del 9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können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sowie Art. 50 und 52 VwVG). Auf die Beschwerde ist einzutreten.</w:t>
      </w:r>
    </w:p>
    <w:p>
      <w:r>
        <w:rPr>
          <w:b/>
        </w:rPr>
        <w:t>E. 3</w:t>
      </w:r>
    </w:p>
    <w:p>
      <w:r>
        <w:t>Die Verfügung des BFM vom 23. Juli 2008 ist gemäss den eindeutigen Rechtsbegehren soweit die Fragen der Flüchtlingseigenschaft und die Asylgewährung betreffend in Rechtskraft erwachsen. Bei dieser Konstellation ist entgegen dem Beschwerdeantrag die Anordnung der Wegweisung als solche (Ziff. 3 des Dispositivs) nicht mehr zu überprüfen, zumal der Antrag in keiner Weise begründet wird und sich auch aus den Akten keine Gründe für das Absehen von der Wegweisung ergeben. Gegenstand des vorliegenden Beschwerdeverfahrens bildet somit einzig die Frage, ob die Wegweisung zu vollziehen oder ob anstelle des Vollzugs die vorläufige Aufnahme anzuordnen ist (Art. 44 AsylG).</w:t>
      </w:r>
    </w:p>
    <w:p>
      <w:r>
        <w:rPr>
          <w:b/>
        </w:rPr>
        <w:t>E. 4</w:t>
      </w:r>
    </w:p>
    <w:p>
      <w:r>
        <w:t>In der Beschwerde werden weitere Abklärungen durch die Rekursinstanz beantragt (Abklärungen vor Ort; Zeugeneinvernahme). Für eine Entscheidfindung erweist sich der Sachverhalt gemäss nachfolgenden Darlegungen indes als hinreichend erstellt. Der Beschwerdeführer ist im Übrigen darauf hinzuweisen, dass die Untersuchungsmaxime der Behörde ihre Grenze in der Mitwirkungs- und Wahrheitspflicht des Betroffenen findet. Das Eingeständnis des Beschwerdeführers in der Eingabe vom 25. Juli 2008, seine mehrjährigen Auslandaufenthalte in Deutschland und England bisher verschwiegen zu haben, lässt sein Aussageverhalten deshalb als generell problematisch erscheinen.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Die Vorinstanz weist im (hier nicht angefochtenen) Asylpunkt aber zurecht und ausführlich darauf hin, dass die angebliche Verfolgung offensichtlich nicht konkret drohe. Generell fällt im Übrigen auf, dass die entsprechenden Aussagen des Beschwerdeführers über weite Strecken stereotyp wirken und keine Realkennzeichen aufweisen (vgl. u.a. A 9/19 S. 9 und 14 f.). Durch die blosse Behauptung in der Beschwerde, wegen der Flucht der gesamten Familie ins Ausland bestehe aus behördlicher Sicht der generelle Verdacht der LTTE-Unterstützung, sind nach wie vor keine Elemente, die eine konkret drohende Verletzung der zitierten Normen als gegeben erscheinen lassen würden, erkennbar. Auch die allgemeine Menschenrechtssituation in Sri Lanka lässt den Wegweisungsvollzug zum heutigen Zeitpunkt nicht als unzulässig erscheinen.</w:t>
      </w:r>
    </w:p>
    <w:p>
      <w:r>
        <w:rPr>
          <w:b/>
        </w:rPr>
        <w:t>E. 5.2.3</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Bundesverwaltungsgericht ging aufgrund seiner zuletzt publizierten Beurteilung der Lage in Sri Lanka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Asylsuchender aus Sri Lanka in die Nordprovinz (Distrikte Kilinochchi, Mannar, Vavuniya,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5.3.3</w:t>
      </w:r>
    </w:p>
    <w:p>
      <w:r>
        <w:t>Seit Erlass des vorstehend zitierten Grundsatzurteils haben die Behörden die Sicherheitsmassnahmen erneut verschärft, und zwar ungeachtet dessen, dass die srilankische Regierung Ende Mai 2009 den militärischen Sieg über die tamilischen Rebellen verkündet hat. Mithin bleibt die Frage offen, wie sich die allgemeine Sicherheits- und Menschenrechtslage in Sri Lanka - insbesondere für die Tamilen - entwickeln wird (vgl. dazu Urteil des Bundesverwaltungsgerichts D- 4125/2006 vom 16. Februar 2010 E. 10.2.3, mit weiteren Hinweisen). Unter diesen Umständen bleibt weiterhin auf individueller Basis zu prüfen, ob für Tamilen im Süden Sri Lankas respektive im Grossraum Colombo eine innerstaatliche Aufenthaltsalternative besteht.</w:t>
      </w:r>
    </w:p>
    <w:p>
      <w:r>
        <w:rPr>
          <w:b/>
        </w:rPr>
        <w:t>E. 5.3.4</w:t>
      </w:r>
    </w:p>
    <w:p>
      <w:r>
        <w:t>In casu ist für den Beschwerdeführer auch zum heutigen Zeitpunkt das Bestehen einer innerstaatlichen Aufenthaltsalternative zu bejahen. Anzufügen ist wiederum, dass sein problematisches Aussageverhalten generell den Verdacht aufkommen lässt, er habe in Bezug auf seine soziale Situation in Colombo möglicherweise zusätzlich begünstigende Faktoren verschwiegen. Unbestritten ist jedoch, dass er im Jahre 2004 respektive 2005 dort an einer offiziellen Adresse angemeldet war, was unter anderem aus dem eingereichten Führerschein hervorgeht. Die von ihm wiederholt als Tante bezeichnete Person soll zwar nicht eine solche im verwandtschaftlichen Sinne sein; unbesehen dieser doch etwas nachgeschobenen Erklärung vermochte er aber offenbar auch Anfang September 2006 bis zur Ausreise im Dezember 2006 wieder dort zu wohnen (A 9/19 S. 12). Im Zusammenhang mit der mittlerweile abgebrochenen Ehevorbereitung des Beschwerdeführers in der Schweiz befinden sich zwei Schreiben dieser Bezugsperson in den Akten, welche jedenfalls eine gewisse familiäre Nähe zum Beschwerdeführer erkennen lassen. Von der Schweiz aus soll er zudem in telefonischem Kontakt mit ihr gestanden sein (A 9/12 S. 7). Eine Wiederansiedlung in Colombo bei ihr oder mit ihrer Unterstützung an einem anderen Ort der Stadt erscheint so als durchaus realistisch, auch wenn die von ihm ursprünglich benützte Wohnung zwischenzeitlich anderweitig vermietet worden sein sollte. Der Beschwerdeführer verfügt im Übrigen über Erfahrung als Händler und Kenntnisse mehrerer Sprachen. Die Schulausbildung dauerte elf beziehungsweise zwölf Jahre (A 1/11 S. 2). Relevante gesundheitliche Probleme werden nicht geltend gemacht. Hinzu kommt, dass er sich gemäss dem übermittelten Reisepass dieses Dokument am 4. Juni 2009 offenbar problemlos in Colombo ausstellen lassen konnte. Seine Erklärung in der Eingabe vom 1. Oktober 2010, die Schweiz während des Asylverfahrens nicht verlassen zu haben, ist nicht weiter zu überprüfen, kann doch nach dem Festgestellten ohnehin davon ausgegangen werden, dass gegen ihn keinerlei Sicherheitsbedenken seitens der Behörden bestanden respektive bestehen. Unter all diesen Umständen sollte es ihm möglich sein, sich in Colombo erneut niederzulassen und sich dort wieder eine wirtschaftliche und soziale Existenzgrundlage aufzubauen. Daran vermögen die wenig stichhaltigen Ausführungen im Beschwerdeverfahren und die auf Beschwerdeebene eingereichten Kopien von Ausweisdokumenten offensichtlich nichts zu ändern.</w:t>
      </w:r>
    </w:p>
    <w:p>
      <w:r>
        <w:rPr>
          <w:b/>
        </w:rPr>
        <w:t>E. 5.3.5</w:t>
      </w:r>
    </w:p>
    <w:p>
      <w:r>
        <w:t>Der Vollzug der Wegweisung des Beschwerdeführers erweist sich demnach auch nach heutiger Einschätzung der Lage insgesamt als zumutbar.</w:t>
      </w:r>
    </w:p>
    <w:p>
      <w:r>
        <w:rPr>
          <w:b/>
        </w:rPr>
        <w:t>E. 5.4</w:t>
      </w:r>
    </w:p>
    <w:p>
      <w:r>
        <w:t>Schliesslich obliegt es dem Beschwerdeführer, sich bei der zuständigen Vertretung des Heimatstaates die für eine Rückkehr (zusätzlich) notwendigen Reisedokumente zu beschaffen (Art. 8 Abs. 4 AsylG), weshalb der Vollzug der Wegweisung auch als möglich zu bezeichnen ist (Art. 83 Abs. 2 AuG).</w:t>
      </w:r>
    </w:p>
    <w:p>
      <w:r>
        <w:rPr>
          <w:b/>
        </w:rPr>
        <w:t>E. 6</w:t>
      </w:r>
    </w:p>
    <w:p>
      <w:r>
        <w:t>Zusammenfassend ergibt sich, dass das BFM den Vollzug der Wegweisung zu Recht als zulässig, zumutbar und möglich erachtet hat. Die Anordnung der vorläufigen Aufnahme fällt demnach nicht in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in der Höhe von insgesamt Fr. 600.- dem Beschwerdeführer aufzuerlegen (Art. 63 Abs. 1 und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