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D-4932/2006 vom 10. Dezember 2007</w:t>
      </w:r>
    </w:p>
    <w:p>
      <w:r>
        <w:t>Bundesverwaltungsgericht, 2007-12-10, DE</w:t>
      </w:r>
    </w:p>
    <w:p>
      <w:r>
        <w:rPr>
          <w:b/>
        </w:rPr>
        <w:t xml:space="preserve">Quelle: </w:t>
      </w:r>
      <w:r>
        <w:t>https://mcp.opencaselaw.ch/entscheid/bvger_D-4932_2006</w:t>
      </w:r>
    </w:p>
    <w:p>
      <w:r>
        <w:t>FR: TAF D-4932/2006 du 10 décembre 2007</w:t>
      </w:r>
    </w:p>
    <w:p>
      <w:r>
        <w:t>IT: TAF D-4932/2006 del 10 dicembre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Zu den anfechtbaren Entscheiden gehören auch Verfügungen des BFM gestützt auf das Asylgesetz; das Bundesverwaltungsgericht entscheidet in diesem Bereich endgültig (Art. 105 des Asylgesetzes vom 26. Juni 1998 [AsylG, SR 142.31]; Art. 83 Bst. d Ziff. 1 des Bundesgerichtsgesetzes vom 17. Juni 2005 [BGG, SR 173.110]).</w:t>
      </w:r>
    </w:p>
    <w:p>
      <w:r>
        <w:rPr>
          <w:b/>
        </w:rPr>
        <w:t>E. 1.2</w:t>
      </w:r>
    </w:p>
    <w:p>
      <w:r>
        <w:t>Das Bundesverwaltungsgericht übernahm, sofern es zuständig war, am 1. Januar 2007 die Beurteilung der bei der ehemaligen ARK hängigen Rechtsmittel. Das neue Verfahrensrecht ist anwendbar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form- und fristgerecht eingereicht; der Beschwerdeführer ist legitimiert (Art. 6 AsylG i.V.m. Art. 48 Abs. 1 und Art. 50 ff. VwVG). Auf die Beschwerde ist mithin einzutreten.</w:t>
      </w:r>
    </w:p>
    <w:p>
      <w:r>
        <w:rPr>
          <w:b/>
        </w:rPr>
        <w:t>E. 2.1</w:t>
      </w:r>
    </w:p>
    <w:p>
      <w:r>
        <w:t>Die Prüfung der vorliegenden Beschwerde kann in materieller Hinsicht im Wesentlichen auf die geltend gemachten subjektiven Nachfluchtgründe beschränkt werden. Dabei erfolgt im Rahmen des vorliegenden zweiten Asylverfahrens eine Konzentration auf die Frage, ob die neuen Vorbringen des Beschwerdeführers in Bezug auf die Flüchtlingseigenschaft eine ausreichende Relevanz aufweisen beziehungsweise ob der Beschwerdeführer durch sein Verhalten seit rechtskräftigem Abschluss des ersten Asylverfahrens einen Grund für eine zukünftige Verfolgung durch die iranischen Behörden gesetzt hat (vgl. Entscheidungen und Mitteilungen der ARK EMARK 1998 Nr. 1 E. 5b).</w:t>
      </w:r>
    </w:p>
    <w:p>
      <w:r>
        <w:rPr>
          <w:b/>
        </w:rPr>
        <w:t>E. 2.2</w:t>
      </w:r>
    </w:p>
    <w:p>
      <w:r>
        <w:t>Indem der Beschwerdeführer, wie vorstehend ausgeführt, die durch das BFM durchgeführte Anhörung vom 10. Juli 2006 als blosse Formalität rügt, ist darin eine formelle Rüge im Sinne der Verletzung des rechtlichen Gehörs zu erblicken, welche es vorab zu behandeln gilt. Diesbezüglich kommt das Bundesverwaltungsgericht nach Durchsicht des relevanten Anhörungsprotokolls zum Schluss, dass die entsprechenden Einwände des Beschwerdeführers nicht verfangen. Allgemein soll die mündliche Anhörung gemäss Art. 29 AsylG Gewähr dafür bieten, dass die asylsuchende Person ihre Asylgründe vollständig darlegen kann und diese von der Asylbehörde korrekt erfasst werden, wobei das rechtliche Gehör insbesondere auch dazu dient, gezielte Rückfragen zur Erhebung des Sachverhalts zu stellen und allfällige Missverständnisse aufzudecken (vgl. Walter Kälin, Grundriss des Asylverfahrens, Basel/Frankfurt a. M. 1990, S. 256 f.). Die vorliegende Anhörung hat diesen Erfordernissen vollends Rechnung getragen, in dem sie sich primär auf die vom Beschwerdeführer im Rahmen des zweiten Asylgesuchs vorgebrachten subjektiven Nachfluchtgründe fokussierte und sich gestützt auf die Vorbringen aus dem schriftlich gestellten, einlässlichen Asylgesuch des Beschwerdeführers auf gezielte Rückfragen namentlich zu seiner Funktion innerhalb der dort erwähnten Exilgruppierung beschränkte (vgl. B 8, S. 2). Dass die Befragung - wie vom Beschwerdeführer so gerügt - demgegenüber etwa primär zum Ziel gehabt hätte, die fehlende Mitgliedschaft des Beschwerdeführers aufzudecken, ist aus den Akten nicht ersichtlich, weshalb auf den entsprechend - ohne Hinweis auf konkrete Protokollstellen der Anhörung - geäusserten Vorwurf des Beschwerdeführers nicht weiter einzugehen ist. Zum weiteren, in der Rechtsmitteleingabe formulierten Einwand, es seien dem Beschwerdeführer keine Fragen zu seiner politischen Motivation - insbesondere zu den Gründen für seinen Beitritt zur DVF - gestellt worden, ist sodann festzuhalten, dass es nicht Aufgabe der befragenden Person sein kann, sämtliche zur Begründung eines Asylgesuches denkbaren Fragen aus eigenem Antrieb zu stellen, und das rechtliche Gehör grundsätzlich insoweit gewährt ist, als der asylsuchenden Person genügend Raum für eigene Ergänzungen belassen wird, wobei diesem Erfordernis vorliegend Rechnung getragen wurde (vgl. namentlich Rückfrage am Schluss der Anhörung, B 8, S. 4). Das vorliegende Asylverfahren ist demnach in prozessualer Hinsicht nicht zu beanstanden, weshalb die formellen Rügen des Beschwerdeführers unbegründet sind.</w:t>
      </w:r>
    </w:p>
    <w:p>
      <w:r>
        <w:rPr>
          <w:b/>
        </w:rPr>
        <w:t>E. 2.3</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EMARK 2000 Nr. 16 E. 5a mit weiteren Hinweisen). Massgebend ist, ob die iranischen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w:t>
      </w:r>
    </w:p>
    <w:p>
      <w:r>
        <w:rPr>
          <w:b/>
        </w:rPr>
        <w:t>E. 2.4</w:t>
      </w:r>
    </w:p>
    <w:p>
      <w:r>
        <w:t>Der Beschwerdeführer ist gestützt auf die Akten seit Februar 2005 Mitglied der Organisation DVF, welche von Dr. M.M. im August 2004 gegründet wurde und sich seither als vor allem in der Schweiz aktive Exilorganisation durch gewaltlose öffentliche Auftritte gegen die aktuellen politischen Zustände im Iran bemerkbar gemacht hat. In seiner Eigenschaft als Mitglied der Organisation hat der Beschwerdeführer in den Jahren 2005 bis 2007 an mehreren Kundgebungen teilgenommen, wobei er ausgewiesenermassen Bewilligungsinhaber einer Standaktion im Kanton B._______ ist. Des Weiteren ist er als Verfasser mehrerer Internetartikel in Erscheinung getreten. Mit Bezug auf den Iran ist in genereller Hinsicht weiterhin festzuhalten, dass durch die Neufassung des iranischen Strafrechts vom 9. Juli 1996 die politische Betätigung für staatsfeindliche Organisationen im Ausland unter Strafe gestellt ist (Art. 498-500). Zudem überwachen die iranischen Behörden die politischen Aktivitäten ihrer Staatsangehörigen im Ausland.</w:t>
      </w:r>
    </w:p>
    <w:p>
      <w:r>
        <w:rPr>
          <w:b/>
        </w:rPr>
        <w:t>E. 2.4.1</w:t>
      </w:r>
    </w:p>
    <w:p>
      <w:r>
        <w:t>Das Bundesverwaltungsgericht geht trotz dieser für die Annahme einer Gefährdung sprechenden Momente - wie nachfolgend ausgeführt wird - davon aus, dass in casu insgesamt keine subjektiven Nachfluchtgründe vorliegen, die bei einer Rückkehr des Beschwerdeführers in den Iran zu einer für die Flüchtlingseigenschaft relevanten Verfolgung führen, weshalb die vorinstanzliche Verfügung zu bestätigen ist. Dabei kann vorab auf die im Wesentlichen zutreffenden Erwägungen der Vorinstanz verwiesen werden (vgl. Bst. E vorstehend), wobei insbesondere mit Blick auf die Rügen des Beschwerdeführers auf Rechtsmittelebene Folgendes zu erwägen bleibt:</w:t>
      </w:r>
    </w:p>
    <w:p>
      <w:r>
        <w:rPr>
          <w:b/>
        </w:rPr>
        <w:t>E. 2.4.2</w:t>
      </w:r>
    </w:p>
    <w:p>
      <w:r>
        <w:t>Vorab ist allgemein weiterhin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(vgl. u.a. Schweizerische Flüchtlingshilfe (SFH), Iran: Rückkehrgefährdung für AktivistInnen und Mitglieder exilpolitischer Organisationen - Informationsgewinnung iranischer Behörden, Bern, 4. April 2006, S. 7 mit Hinweisen auf die Rechtsprechung der Asylbehörden einer Auswahl europäischer Länder). Dabei ist nicht primär das Hervortreten im Sinne einer optischen Erkennbarkeit und Individualisierbarkeit, sondern eine derartige Exponierung in der Öffentlichkeit massgebend, welche aufgrund der Persönlichkeit des Asylsuchenden, der äusseren Form seines Auftritts und nicht zuletzt aufgrund des Inhaltes der in der Öffentlichkeit abgegebenen Erklärungen den Eindruck erweckt, dass der Asylsuchende zu einer Gefahr für den Bestand des Mullah-Regimes wird. Der soeben dargelegte Exponierungsgrad kann dem Beschwerdeführer unter Berücksichtigung der von ihm in der Schweiz bis zuletzt ausgeübten exilpolitischen Aktivitäten nicht beigemessen werden, weshalb eine konkrete Gefährdung des Beschwerdeführers bei einer Rückkehr in den Iran auszuschliessen ist.</w:t>
      </w:r>
    </w:p>
    <w:p>
      <w:r>
        <w:rPr>
          <w:b/>
        </w:rPr>
        <w:t>E. 2.4.3</w:t>
      </w:r>
    </w:p>
    <w:p>
      <w:r>
        <w:t>Zu dieser Einschätzung und mit Bezug auf die konkrete Funktion des Beschwerdeführers innerhalb der in Frage stehenden Exilgruppierung fällt vorab das bei den Akten liegende Schreiben des Präsidenten der DVF vom 15. Mai 2006 ins Gewicht, welches einzig eine Mitgliedschaft des Beschwerdeführers und Aktivitäten bei politischen Aktionen bestätigt, welche namentlich die Teilnahme an diversen Kundgebungen einschliesst. Darüber hinaus erschöpft sich das Schreiben in allgemeinen Ausführungen zur Organisation, worin dem Beschwerdeführer namentlich keine Kaderfunktion zugeschrieben wird (vgl. B 3). Der Beschwerdeführer selbst bezeichnet sich gestützt auf die protokollierten Aussagen der direkten Anhörung durch das BFM demgegenüber als 'logistischen Direktor' der DVF, Sektion Kanton B._______. Hingegen positioniert er sich anlässlich derselben Befragung an anderer Stelle konkretisierend als schlichten 'Organisator', welcher innerhalb der Vereinshierarchie hinter dem Präsidenten, dem Vorstand sowie den Kantonsverantwortlichen stehe (vgl. B 8, S. 2). In seiner Funktion als Organisator ist wiederum einzig eine auf seinen Namen lautende Bewilligung für eine Standaktion im Kanton B._______ aktenkundig, deren Inhalt lediglich den schweizerischen und mithin nicht den iranischen Behörden bekannt sein dürfte. Die vorerwähnte Aktenlage weist demnach nach Einschätzung des Bundesverwaltungsgerichts keine hinreichend hohe und in der Öffentlichkeit exponierte Kaderstelle des Beschwerdeführers innerhalb der DVF aus, die einer eingehenderen Prüfung ihrer Flüchtlingsrelevanz bedarf. Ebenso ist aufgrund der vorstehend aufgeführten Sachlage auf die als unbelegt zu betrachtenden Vorbringen in der Rechtsmitteleingabe nicht weiter einzugehen, welche dem Beschwerdeführer eine Führungsposition als Logistikverantwortlichen innerhalb der genannten Exilgruppierung und insbesondere eine enge Zusammenarbeit mit den Vorstandsmitgliedern der schweizerischen DVF beimessen. Vor diesem Hintergrund lässt die im vorliegenden Verfahren durch die weiteren Beweismittel dokumentierte Beteiligung des Beschwerdeführers an exilpolitischen Aktivitäten - sei es als Teilnehmer an Kundgebungen oder als Autor von Internetartikeln - von vornherein nicht das Gefährdungspotenzial ersehen, welches der Beschwerdeführer daraus zu ziehen versucht. In Bezug auf die vom Beschwerdeführer publizierten und zusammen mit einer deutschen Übersetzung zu den Akten gereichten Internetartikel ist darüber hinaus festzuhalten, dass der jeweilige Inhalt unter dem Namen des Verfassers nicht über eine undifferenzierte Kritik am iranischen Regime sowie einen - ebenfalls sehr allgemein gehaltenen - Aufruf, die Unterdrückung des iranischen Volkes durch das Mullah-Regime zu bekämpfen, hinausgeht (vgl. B 4 und Beilage 1 du 2 der Eingabe vom 3. September 2007). Auch die ins Recht gelegten Internetartikel vermögen damit nicht den Eindruck zu vermitteln, hinter diesen stehe eine Person, die über klar definierte oppositionspolitische Vorstellungen und über ein persönliches Agitationspotenzial verfügt, welches zu einer Gefahr für das Regime im Iran werden könnte. Es ist daher davon auszugehen, dass auch die iranischen Behörden - sollten sie von jenen Artikeln Notiz genommen haben - über das Differenzierungsvermögen verfügen, dies zu erkennen. Im Sinne einer Klarstellung scheint sodann die Anmerkung angebracht, dass friedliche Propagandaaktionen in westeuropäischen Staaten, wie sie vorliegend und in einer Vielzahl anderer Verfahren vor dem Bundesverwaltungsgericht dokumentiert sind, von den iranischen Sicherheitsbehörden durchaus unter realistischer Einordnung des - ebenso evidenten wie unpolitischen - Interesses ihrer Landsleute interpretiert werden, im Gastland nach Möglichkeit ein Aufenthaltsrecht zu erwirken. In diesem Zusammenhang ist den Vorbringen in der Beschwerdeschrift, mit welchen eine angebliche Diskreditierung des politischen Engagements des Beschwerdeführers durch die Vorinstanz gerügt werden, damit zu begegnen, dass die Aufgabe der Asylbehörden nicht darin bestehen kann, die innere (politische) Gesinnung eines Asylsuchenden auszuleuchten, sich ihr Prüfungsumfang vielmehr darin erschöpft, die gegen aussen manifestierte, aus Sicht der iranischen Behörden als potenziell gefährlich zu wertende Oppositionstätigkeit der in Frage stehenden Person zu beurteilen. Dass hierbei ein für die Zeit bis zur Ausreise aus dem Iran rechtskräftig festgestelltes, fehlendes politisches Engagement - mithin eine fehlende Vorverfolgung - wie auch eine vergleichsweise wenig weit zurückreichende exilpolitische Aktivität bei der Beurteilung der politischen Profilierung des Beschwerdeführers Berücksichtigung findet, erscheint in diesem Sinne folgerichtig, weshalb die entsprechenden Erwägungen der Vorinstanz, entgegen den Rügen in der Rechtsmitteleingabe, nicht zu beanstanden sind. Zusammenfassend ist festzuhalten, dass - unter Berücksichtigung der Vorbringen und eingereichten Beweismittel - die Einschätzung der Vorinstanz bezüglich einer in flüchtlingsrechtlicher Hinsicht fehlenden politischen Exponiertheit des Beschwerdeführers zutreffend ist. So reicht eine potenzielle Identifizierbarkeit als exilpolitischer Aktivist nicht aus, um daraus abzuleiten, er werde deswegen bei einer Rückkehr in den Iran verfolgt. Vor allem sind keine Hinweise aktenkundig, wonach er in der Schweiz in einer hohen und in der Öffentlichkeit exponierten Kaderstelle einer Exilorganisation tätig (gewesen) wäre. Zudem fehlt es an einem Beleg, wonach gegen den Beschwerdeführer aufgrund der genannten Publikationen oder seiner sonstigen Aktivitäten im Iran ein Strafverfahren oder andere behördliche Massnahmen eingeleitet worden wären (vgl. zur Möglichkeit der Eröffnung von Strafverfahren in Abwesenheit im Iran SFH, a.a.O., S. 10 mit weiteren Hinweisen). In letzter Konsequenz ist darauf hinzuweisen, dass es nicht Sache der schweizerischen Asylbehörden sein kann, jede auch nur ansatzweise mögliche Gefährdungssituation im Heimatland des Beschwerdeführers abklären zu müssen. Hier findet der in Art. 12 VwVG verankerte Untersuchungsgrundsatz vernünftigerweise seine Schranken und ist der Beschwerdeführer auf seine in Art. 8 AsylG verankerte Mitwirkungspflicht zu verweisen.</w:t>
      </w:r>
    </w:p>
    <w:p>
      <w:r>
        <w:rPr>
          <w:b/>
        </w:rPr>
        <w:t>E. 2.4.4</w:t>
      </w:r>
    </w:p>
    <w:p>
      <w:r>
        <w:t>Der Vollständigkeit halber und soweit der Beschwerdeführer mit seinen Vorbringen zur jüngsten Verschärfung der politischen Lage im Iran sinngemäss objektive Nachfluchtgründe geltend macht, bleibt zu erwägen, dass die Wahl des als fundamentalistisch bekannten Mahmud Ahmadinedschad zum Staatspräsidenten in einer derzeitigen Lageeinschätzung nicht erkennbar zu einer stärkeren Fokussierung auf politisch aktive, iranische Exilgruppierungen geführt hat.</w:t>
      </w:r>
    </w:p>
    <w:p>
      <w:r>
        <w:rPr>
          <w:b/>
        </w:rPr>
        <w:t>E. 2.4.5</w:t>
      </w:r>
    </w:p>
    <w:p>
      <w:r>
        <w:t>Aufgrund der aufgezeigten Sachlage erübrigt es sich, auf weitere Einwendungen in der Beschwerde einzugehen, da diese nicht geeignet sind, einen anderen Entscheid in der Frage der Flüchtlingseigenschaft herbeizuführen. Der rechtserhebliche Sachverhalt wurde im erstinstanzlichen Verfahren ausreichend ermittelt, und es ist demgemäss absehbar, dass aus zusätzlichen Abklärungen keine neuen entscheidwesentlichen Erkenntnisse gewonnen werden könnten. Aus demselben Grund kann auf weitergehende Erörterungen zu den übrigen Beweismitteln verzichtet werden. In Würdigung der gesamten Umstände ist alsdann festzustellen, dass der Beschwerdeführer einen flüchtlingsrechtlich bedeutsamen Sachverhalt für die Zeit nach erfolglos durchlaufenem ersten Asylverfahren weder nachgewiesen noch glaubhaft gemacht hat.</w:t>
      </w:r>
    </w:p>
    <w:p>
      <w:r>
        <w:rPr>
          <w:b/>
        </w:rPr>
        <w:t>E. 3.1</w:t>
      </w:r>
    </w:p>
    <w:p>
      <w:r>
        <w:t>Lehnt das Bundesamt das Asylgesuch ab oder tritt es darauf nicht ein, so verfügt es in der Regel die Wegweisung aus der Schweiz und ordnet den Vollzug an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vom 26. März 1931 über Aufenthalt und Niederlassung der Ausländer [ANAG; SR 142.20]).</w:t>
      </w:r>
    </w:p>
    <w:p>
      <w:r>
        <w:rPr>
          <w:b/>
        </w:rPr>
        <w:t>E. 3.2</w:t>
      </w:r>
    </w:p>
    <w:p>
      <w:r>
        <w:t>Der Beschwerdeführer verfügt unverändert weder über eine fremdenpolizeiliche Aufenthaltsbewilligung noch einen Anspruch auf Erteilung einer solchen. Die Wegweisung wurde demnach zu Recht angeordnet (Art. 44 Abs. 1 AsylG; EMARK 2001 Nr. 21).</w:t>
      </w:r>
    </w:p>
    <w:p>
      <w:r>
        <w:rPr>
          <w:b/>
        </w:rPr>
        <w:t>E. 3.3</w:t>
      </w:r>
    </w:p>
    <w:p>
      <w:r>
        <w:t>Was den Wegweisungsvollzug betrifft, so hat die Vorinstanz in ihrer angefochtenen Verfügung zutreffend darauf hingewiesen, dass der Grundsatz der Nichtrückschiebung nur Personen schützt, welche die Flüchtlingseigenschaft erfüllen (vgl. Mario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3.4</w:t>
      </w:r>
    </w:p>
    <w:p>
      <w:r>
        <w:t>Sodann ergeben sich weder aus den Aussagen des Beschwerdeführers noch aus den Akten Anhaltspunkte dafür, dass er für den Fall einer Ausschaffung in seinen Heimatstaat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mit weiteren Hinweisen). Dies ist ihm nach den vorstehenden Erwägungen zu den geltend gemachten subjektiven Nachfluchtgründen indes nicht gelungen. Auch die allgemeine Menschenrechtssituation im Iran lässt den Wegweisungsvollzug zum heutigen Zeitpunkt als zulässig erscheinen. Nach dem Gesagten ist der Vollzug der Wegweisung sowohl im Sinne der landes- als auch völkerrechtlichen Bestimmungen zulässig (vgl. Art. 14a Abs. 3 ANAG).</w:t>
      </w:r>
    </w:p>
    <w:p>
      <w:r>
        <w:rPr>
          <w:b/>
        </w:rPr>
        <w:t>E. 3.5</w:t>
      </w:r>
    </w:p>
    <w:p>
      <w:r>
        <w:t>Zur Frage der Zumutbarkeit hat der Beschwerdeführer im vorliegenden Verfahren nichts Substanzielles vorgebracht. Demnach ist der Vollzug unverändert als zumutbar zu erachten, zumal keine Hinweise in den Akten dafür bestehen, dass der Beschwerdeführer bei einer Rückkehr in sein Heimatland aus allgemeinen oder individuellen Umständen einer konkreten Gefährdung ausgesetzt wäre (vgl. Art. 14a Abs. 4 ANAG).</w:t>
      </w:r>
    </w:p>
    <w:p>
      <w:r>
        <w:rPr>
          <w:b/>
        </w:rPr>
        <w:t>E. 3.6</w:t>
      </w:r>
    </w:p>
    <w:p>
      <w:r>
        <w:t>Schliesslich stehen dem Vollzug der Wegweisung des Beschwerdeführers auch keine praktischen Hindernisse entgegen, weshalb dieser als möglich zu bezeichnen ist (vgl. Art. 14a Abs. 2 ANAG).</w:t>
      </w:r>
    </w:p>
    <w:p>
      <w:r>
        <w:rPr>
          <w:b/>
        </w:rPr>
        <w:t>E. 3.7</w:t>
      </w:r>
    </w:p>
    <w:p>
      <w:r>
        <w:t>Insgesamt ist die durch die Vorinstanz verfügte Wegweisung zu bestätigen. Die Vorinstanz hat deren Vollzug zu Recht als zulässig, zumutbar und möglich erachtet. Nach dem Gesagten fällt eine Anordnung der vorläufigen Aufnahme ausser Betracht (Art. 14a Abs. 1 - 4 ANAG).</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5</w:t>
      </w:r>
    </w:p>
    <w:p>
      <w:r>
        <w:t>Der Beschwerdeführer beantragt die Gewährung der unentgeltlichen Rechtspflege nach Art. 65 Abs. 1 VwVG. Gemäss dieser Bestimmung kann die Beschwerdeinstanz eine bedürftige Partei, deren Begehren nicht aussichtslos erscheint, davon befreien, Verfahrenskosten zu bezahlen. Aufgrund der Aktenlage ergibt sich, dass die Beschwerde im Zeitpunkt der Beschwerdeerhebung nicht als aussichtslos zu bezeichnen war. Zudem ist aufgrund der besonderen Umstände und gestützt auf die Akten - auch ohne Einreichung einer ausdrücklichen Fürsorgebestätigung seitens des Beschwerdeführers - ersichtlich, dass dieser bedürftig ist. Das Gesuch um Gewährung der unentgeltlichen Rechtspflege gemäss Art. 65 Abs. 1 VwVG ist somit gutzuheissen.</w:t>
      </w:r>
    </w:p>
    <w:p>
      <w:r>
        <w:rPr>
          <w:b/>
        </w:rPr>
        <w:t>E. 6</w:t>
      </w:r>
    </w:p>
    <w:p>
      <w:r>
        <w:t>Infolge Gutheissung des Gesuchs um Gewährung der unentgeltlichen Rechtspflege ist im Sinne der vorstehenden Erwägungen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