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D-4930/2009 vom 21. Oktober 2009</w:t>
      </w:r>
    </w:p>
    <w:p>
      <w:r>
        <w:t>Bundesverwaltungsgericht, 2009-10-21, DE</w:t>
      </w:r>
    </w:p>
    <w:p>
      <w:r>
        <w:rPr>
          <w:b/>
        </w:rPr>
        <w:t xml:space="preserve">Quelle: </w:t>
      </w:r>
      <w:r>
        <w:t>https://mcp.opencaselaw.ch/entscheid/bvger_D-4930_2009</w:t>
      </w:r>
    </w:p>
    <w:p>
      <w:r>
        <w:t>FR: TAF D-4930/2009 du 21 octobre 2009</w:t>
      </w:r>
    </w:p>
    <w:p>
      <w:r>
        <w:t>IT: TAF D-4930/2009 del 21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der angefochtenen Verfügung vom 26. Juni 2009 ausführlich die diversen Unglaubhaftigkeitselemente in den Aussagen des Beschwerdeführers dargelegt und vor diesem Hintergrund festgestellt, dessen Vorbringen genügten den Anforderungen gemäss Art. 7 AsylG nicht. Für das Bundesverwaltungsgericht besteht nach Überprüfung der Akten keine Veranlassung, die Erwägungen des BFM zu beanstanden. Um Wiederholungen zu vermeiden, dann daher auf die diesbezüglichen zutreffenden vorinstanzlichen Ausführungen in der angefochtenen Verfügung verwiesen werden.</w:t>
      </w:r>
    </w:p>
    <w:p>
      <w:r>
        <w:rPr>
          <w:b/>
        </w:rPr>
        <w:t>E. 5.2</w:t>
      </w:r>
    </w:p>
    <w:p>
      <w:r>
        <w:t>Die Vorbringen in der Rechtsmitteleingabe vom 3. August 2009 sind nicht geeignet, eine Änderung der vorinstanzlichen Verfügung zu bewirken. Der Argumentation des BFM werden keine stichhaltigen Gründe entgegengesetzt. Eine Auseinandersetzung mit den dem Beschwerdeführer vorgeworfenen Unglaubhaftigkeitselementen unterbleibt zwar nicht grundsätzlich, sie verlaufen jedoch in allgemeine Ausführungen, die mit keinerlei stichhaltigen Argumenten gestützt werden.</w:t>
      </w:r>
    </w:p>
    <w:p>
      <w:r>
        <w:rPr>
          <w:b/>
        </w:rPr>
        <w:t>E. 5.3</w:t>
      </w:r>
    </w:p>
    <w:p>
      <w:r>
        <w:t>Die vorgebrachte Verfolgungsgeschichte des Beschwerdeführers ist bereits deshalb nicht glaubhaft, da seine Angaben betreffend die Umstände der Ausreise und des zurückgelegten Reiseweges unsubstanziiert ausgefallen sind. So ist es nicht nachvollziehbar, dass er weder die Fluggesellschaft, mit der er ausgereist sein will, noch den Zielflughafen in Italien nennen konnte. Jeder Flugpassagier hat vor dem Einsteigen in ein Flugzeug genügend Zeit, um das Flugzeug eingehend zu betrachten. Damit dürfte es überwiegend wahrscheinlich sein, dass ein jeder Passagier auch erkennt, mit welcher Fluggesellschaft er seine Reise in Angriff nehmen wird. Während einer Flugreise werden mehrmals durch den Piloten oder Co-Piloten Angaben zur Flugroute und zum Zielflughafen durchgegeben. In den meisten Flugzeugen sind diese Informationen auch auf einem Monitor ersichtlich. Das diesbezügliche Unwissen entbehrt deshalb jeglicher Logik und ist realitätsfremd. Da der Beschwerdeführer zudem nicht einmal wissen wollte, mit welcher Identität er ausgereist ist, lässt darauf schliessen, dass er seine Reiseroute, das genaue Ausreisedatum und auch seine wahre Identität nicht preisgeben wollte. Überdies spricht auch der Umstand, dass der Beschwerdeführer seinen Heimatstaat von Colombo aus auf dem Luftweg und somit über einen gut kontrollierten Flughafen verliess, gegen eine asylrelevante Verfolgung.</w:t>
      </w:r>
    </w:p>
    <w:p>
      <w:r>
        <w:rPr>
          <w:b/>
        </w:rPr>
        <w:t>E. 5.4</w:t>
      </w:r>
    </w:p>
    <w:p>
      <w:r>
        <w:t>Aufgrund der vorstehenden Erwägungen erübrigt es sich, auf die weiteren Ausführungen in der Eingabe des Beschwerdeführers oder die zu den Akten gereichten Beweismittel im Einzelnen näher einzugehen, da sie am Ergebnis der vorgenommenen Würdigung nichts zu ändern vermögen. Nach dem Gesagten erfüllt der Beschwerdeführer die Flüchtlingseigenschaft gemäss Art. 3 AsylG nicht.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6.3</w:t>
      </w:r>
    </w:p>
    <w:p>
      <w:r>
        <w:t>Der Beschwerdeführer wurde mit Verfügung des BFM vom 26. Juni 2009 vorläufig aufgenommen. Erörterungen hinsichtlich eines allfälligen Wegweisungsvollzugs erübrigen sich somit.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8.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