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D-4927/2023 vom 21. März 2024</w:t>
      </w:r>
    </w:p>
    <w:p>
      <w:r>
        <w:t>Bundesverwaltungsgericht, 2024-03-21, DE</w:t>
      </w:r>
    </w:p>
    <w:p>
      <w:r>
        <w:rPr>
          <w:b/>
        </w:rPr>
        <w:t xml:space="preserve">Quelle: </w:t>
      </w:r>
      <w:r>
        <w:t>https://mcp.opencaselaw.ch/entscheid/bvger_D-4927_2023</w:t>
      </w:r>
    </w:p>
    <w:p>
      <w:r>
        <w:t>FR: TAF D-4927/2023 du 21 mars 2024</w:t>
      </w:r>
    </w:p>
    <w:p>
      <w:r>
        <w:t>IT: TAF D-4927/2023 del 21 marzo 2024</w:t>
      </w:r>
    </w:p>
    <w:p>
      <w:pPr>
        <w:pStyle w:val="Heading2"/>
      </w:pPr>
      <w:r>
        <w:t>Regeste</w:t>
      </w:r>
    </w:p>
    <w:p>
      <w:r>
        <w:t>Asyl und Wegweisung</w:t>
      </w:r>
    </w:p>
    <w:p>
      <w:pPr>
        <w:pStyle w:val="Heading2"/>
      </w:pPr>
      <w:r>
        <w:t>Erwägungen</w:t>
      </w:r>
    </w:p>
    <w:p>
      <w:r>
        <w:rPr>
          <w:b/>
        </w:rPr>
        <w:t>E. 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t>D-4927/2023 Seite 6</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m.w.H.).</w:t>
      </w:r>
    </w:p>
    <w:p>
      <w:r>
        <w:rPr>
          <w:b/>
        </w:rPr>
        <w:t>E. 5.1</w:t>
      </w:r>
    </w:p>
    <w:p>
      <w:r>
        <w:t>Ihren ablehnenden Entscheid begründet die Vorinstanz im Wesentli- chen damit, dass die Vorbringen des Beschwerdeführers den Anforderun- gen an die Flüchtlingseigenschaft nicht standhielten. Die geltend gemachte Festnahme im April 2019 anlässlich der Osteranschläge sei nicht auf ein flüchtlingsrechtlich relevantes Verfolgungsmotiv zurückzuführen. Vielmehr sei davon auszugehen, dass lediglich die Nähe des Beschwerdeführers zum Ort des Geschehens und der Umstand, dass er als Tamile in einer vorwiegend singhalesischen Gegend aufgefallen sei zur behaupteten Fest- nahme geführt hätten. Zwar sei es möglich, dass die Behörden ihn im Zuge der Ermittlungen mehrmals zu Hause aufgesucht hätten, von einem anhal- tenden Verfolgungsinteresse der sri-lankischen Behörden sei jedoch nicht auszugehen. Die weiteren geltend gemachten Vorkommnisse, aufgrund derer er glaube, einer Verfolgungssituation ausgesetzt zu sein, vermöchten</w:t>
      </w:r>
    </w:p>
    <w:p>
      <w:r>
        <w:t>D-4927/2023 Seite 7 dies nicht zu ändern. Mit der angeblichen Entführung einer seiner Freunde hätten die heimatlichen Behörden offensichtlich nichts zu tun und auch der Vorfall anlässlich des Todes seines Grossvaters, als ihn Unbekannte ange- griffen respektive zu entführen versucht hätten, vermöge keine Verfol- gungssituation zu begründen. Gleiches gelte für Ereignisse rund um die Hochzeit seiner Schwester. An dieser Einschätzung vermöchten denn auch die eingereichten Beweismittel nichts zu ändern.</w:t>
      </w:r>
    </w:p>
    <w:p>
      <w:r>
        <w:rPr>
          <w:b/>
        </w:rPr>
        <w:t>E. 5.2</w:t>
      </w:r>
    </w:p>
    <w:p>
      <w:r>
        <w:t>Der Beschwerdeführer hält dem in der Rechtsmitteleingabe im Wesent- lichen entgegen, die Vorinstanz verkenne, dass die während der Haft erlit- tene Folter des Beschwerdeführers, die anschliessende polizeiliche Suche nach ihm ebenso wie die versuchte Entführung auf seine tamilische Ethnie zurückzuführen seien, weshalb eine asylrelevante Verfolgung durchaus vorliege. Diese sei denn auch aktuell, habe er doch darzulegen vermocht, dass die Behörden seiner nach wie vor habhaft zu werden versuchten, zu- letzt sei es zu einer Hausdurchsuchung Anfang dieses Jahres gekommen, was er durch entsprechende Videoaufnahmen belegen könne. Auch sei anzunehmen, dass der weiterhin verschollene Freund und ehemalige Mit- bewohner des Beschwerdeführers getötet worden sei, um ihn zum Schwei- gen zu bringen. Dass dem Beschwerdeführer gleiches drohe, sei nahelie- gend. Zudem sei davon auszugehen, dass das 2019 gegen den Beschwer- deführer eröffnete Strafverfahren weiterhin hängig sei. Darüber hinaus würde eine allfällige Rückkehr des Beschwerdeführers in den Heimatstaat auch eine Situation eines unerträglichen psychischen Drucks für ihn be- deuten. Zudem stelle die erlittene Vorverfolgung «zwingende Gründe» im Sinne von Art. 1C Ziff. 5 Abs. 2 des Abkommens vom 28. Juli 1951 über die Rechtsstellung der Flüchtlinge (FK, SR 0.142.30) dar.</w:t>
      </w:r>
    </w:p>
    <w:p>
      <w:r>
        <w:rPr>
          <w:b/>
        </w:rPr>
        <w:t>E. 6.1</w:t>
      </w:r>
    </w:p>
    <w:p>
      <w:r>
        <w:t>Das Bundesverwaltungsgericht kommt nach Prüfung der Akten zum Schluss, dass die Vorbringen des Beschwerdeführers den Anforderungen an die Flüchtlingseigenschaft nicht zu genügen vermögen. Auf die zutreffenden Ausführungen der Vorinstanz in der angefochtenen Verfügung (vgl. E 5.1 hiervor) kann mit den nachfolgenden Ergänzungen verwiesen werden. Die Vorbringen auf Beschwerdeebene führen zu keiner anderen Betrachtungsweise. Obgleich der Beschwerdeführer als bekennender Christ grundsätzlich nicht in das Täterprofil der gemäss öffentlichen Quellen dschihadistisch motivierten Osteranschläge von 2019 passt, kann nicht ausgeschlossen werden, dass er im Zuge der Ermittlungen – als einer von vielen – durch</w:t>
      </w:r>
    </w:p>
    <w:p>
      <w:r>
        <w:t>D-4927/2023 Seite 8 die heimatlichen Behörden befragt und allenfalls kurzzeitig festgehalten wurde. Das Gericht geht jedoch davon aus, dass dies – bei Wahrunterstellung – lediglich aufgrund der räumlichen Nähe seiner damaligen Arbeitsstätte zur betroffenen Kirche erfolgte. Dass er, der politisch nicht aktiv ist (vgl. A31/10 F52) und keinerlei Verbindungen zu den Liberation Tigers of Tamil Eelam (LTTE) aufweist, in Sri Lanka in asylrelevanter Weise in den Fokus der Behörden geraten und ein Strafverfahren gegen ihn hängig ist, ist entgegen seinen Vorbringen nicht anzunehmen, zumal er das geltend gemachte Interesse der Behörden an seiner Person nicht nachvollziehbar darzulegen vermochte. Seine Erklärung, dass die Polizei wütend auf ihn gewesen sei und ihn daraufhin jahrelang schikaniert habe, da im Rahmen einer Werbekampagne mit ihm – einem ethnischen Tamilen – geworben worden sei (vgl. A15/19 F55 f.), erscheint konstruiert. Daran vermögen auch die behauptungsweise anhaltenden Hausbesuche der Behörden, welche gemäss seinen eigenen Angaben in ihrer Intensität über die Jahre abnahmen (vgl. A31/10 F51) nichts zu ändern. Gleiches gilt für das angebliche Verschwinden seines Freundes und ehemaligen Mitbewohners, handelt es sich doch offensichtlich lediglich um eine Vermutung des Beschwerdeführers, dass die Behörden etwas mit dessen Verschwinden zu tun hätten (vgl. A15/19 F50). Was die geschilderten Vorkommnisse rund um den Tod des Grossvaters betrifft, ist – bei Wahrunterstellung – anzunehmen, dass der Beschwerdeführer rein zufällig durch die ihm unbekannten Dritten angegriffen wurde. Es finden sich in den Akten keinerlei Hinweise darauf, dass es sich bei den Angreifern um die sri-lankischen Behörden handelte (vgl. A15/19 F53), zumal sich diese wohl zu erkennen gegeben hätten. Gleiches gilt für das Einschreiten der Sanitätseinheit bei der Hochzeit seiner Schwester. Auch diesbezüglich ist nicht auf eine flüchtlingsrechtlich relevante Verfolgung des Beschwerdeführers zu schliessen, zumal die Feierlichkeiten seinen Schilderungen nach aufgrund des zu diesem Zeitpunkt immer noch kursierenden Coronavirus unterbrochen wurden und es sich bei der Isolation der Hochzeitsgäste lediglich um eine gesundheitspolizeiliche Massnahme handelte, von welcher der Beschwerdeführer augenscheinlich gar nicht betroffen war (vgl. A31/10 F4 und F41 ff.). Das behauptungsweise seit 2019 gegen ihn hängige Strafverfahren vermochte der Beschwerdeführer auch auf Beschwerde- ebene nicht durch entsprechende Beweismittel zu belegen. Sein diesbezüglicher Erklärungsversuch in der Beschwerdeschrift, ent- sprechende Unterlagen könnten nicht beschafft und der Verfahrensstand nicht erfragt werden, da er seine in Sri Lanka verbliebenen Angehörigen durch einen Behördenkontakt nicht in Gefahr bringen wolle, erscheint</w:t>
      </w:r>
    </w:p>
    <w:p>
      <w:r>
        <w:t>D-4927/2023 Seite 9 ausweichend, zumal anzunehmen ist, er könne ohne weiteres einen Anwalt mit der Beschaffung von Informationen und Unterlagen beauftragen.</w:t>
      </w:r>
    </w:p>
    <w:p>
      <w:r>
        <w:rPr>
          <w:b/>
        </w:rPr>
        <w:t>E. 6.2</w:t>
      </w:r>
    </w:p>
    <w:p>
      <w:r>
        <w:t>Nach dem Gesagten ist die geltend gemachte Verfolgung respektive Verfolgungsgefahr als nicht asylrelevant zu erachten. An dieser Einschät- zung vermögen denn auch die eingereichten Beweismittel nichts zu än- dern. Der polizeilichen Vorladung vom 29. November 2019 sowie dem ein- gereichten Message Form vom 28. April 2023 (vgl. BM2/1 und Beschwer- debeilage 5) kommt mangels Vorliegens im Original nur ein geringer Be- weiswert zu. Darüber hinaus weisen handschriftlich erstellte Dokumente – wie die vorgenannten – kaum Fälschungssicherheit auf. Den auf Be- schwerdeebene eingereichten Briefen, angeblich von der Mutter des Be- schwerdeführers sowie der Mutter seines ehemaligen Mitbewohners stam- mend, kommt ebenfalls keine hohe Beweiskraft zu, sind diese Schreiben doch als blosse Gefälligkeitsschreiben zu würdigen. Die sich bei den Akten befindenden Auszüge aus Social Media unbekannten Datums (vgl. BM12/3) weisen ebenso wenig wie die Fotografien der angeblichen Marinezeremonie zu Ehren seines verstorbenen Grossvaters (vgl. BM 13/3) einen konkreten Bezug zum Beschwerdeführer auf, zumal letztere keine Aussage darüber zulassen, wo und in welchem Zusammenhang sie entstanden sind und um wen es sich bei den Gesichtsmaske tragenden Personen handelt. Gleiches gilt für das auf einem USB-Stick eingereichte 29 Sekunden kurze Video unbekannten Datums und Herkunft einer angeb- lichen Hausdurchsuchung respektive die Bildausschnitte, die offensichtlich vorgenanntem Video entstammen (vgl. Beschwerdebeilage 6 und 7).</w:t>
      </w:r>
    </w:p>
    <w:p>
      <w:r>
        <w:rPr>
          <w:b/>
        </w:rPr>
        <w:t>E. 6.3</w:t>
      </w:r>
    </w:p>
    <w:p>
      <w:r>
        <w:t>Obgleich die Frage der Glaubhaftigkeit gemäss Art. 7 AsylG letztlich offenbleiben kann, ist der Vollständigkeit halber festzuhalten, dass für das Gericht an einzelnen Sachverhaltsdarstellungen des Beschwerdeführers durchaus Zweifel bestehen.</w:t>
      </w:r>
    </w:p>
    <w:p>
      <w:r>
        <w:rPr>
          <w:b/>
        </w:rPr>
        <w:t>E. 6.4</w:t>
      </w:r>
    </w:p>
    <w:p>
      <w:r>
        <w:t>Aufgrund der Aktenlage ist im Weiteren nicht davon auszugehen, dass bei dem Beschwerdeführer Risikofaktoren vorliegen, welche bei einer Rückkehr nach Sri Lanka zu einer flüchtlingsrechtlich relevanten Verfol- gung führen könnten (vgl. dazu das Urteil des BVGer E-1866/2015 vom 15. Juli 2016 [als Referenzurteil publiziert]). Familiäre Verbindungen oder eigene Unterstützungshandlungen zugunsten der LTTE machte er zu kei- nem Zeitpunkt geltend. Ferner sind auch keine politischen oder exilpoliti- schen Aktivitäten des Beschwerdeführers aktenkundig. Darüber hinaus ist er nie als Befürworter des tamilischen Separatismus in Erscheinung</w:t>
      </w:r>
    </w:p>
    <w:p>
      <w:r>
        <w:t>D-4927/2023 Seite 10 getreten. Das auf Beschwerdeebene geltend gemachte Fehlen ordentli- cher Identitätsdokumente, sein Aufenthalt in der Schweiz sowie seine – auf den eingereichten Fotografien kaum erkennbaren – Narben (vgl. Be- schwerdebeilage 11) stellen (wenn überhaupt) schwach risikobegründende Faktoren dar. Damit bestehen keine Anhaltspunkte für die Annahme, dass er in Sri Lanka einschlägig registriert wäre oder gar auf einer Fahndungs- liste der heimatlichen Behörden stünde und im Falle seiner Rückkehr einer erhöhten Verfolgungsgefahr ausgesetzt wäre. Aus der Schweiz nach Sri Lanka zurückkehrende tamilische Asylsuchende sind sodann nicht per se einer reellen Gefahr ausgesetzt, bei ihrer Rückkehr ernsthafte Nachteile im Sinne von Art. 3 AsylG zu erleiden, sondern nur dann, wenn die sri-lanki- schen Behörden das Verhalten der zurückkehrenden Person mutmasslich als staatsfeindlich einstufen. Diese Voraussetzung ist mit Blick auf die vor- stehenden Erwägungen vorliegend nicht erfüllt. Der Beschwerdeführer ver- mag schliesslich weder aus der Situation seit dem Machtwechsel im Jahr 2019 noch aus der aktuellen Lage in Sri Lanka nach der Wahl von Ranil Wickremesinghe zum neuen Staatspräsidenten im Juli 2022 eine individu- elle flüchtlingsrechtlich relevante Gefährdung abzuleiten.</w:t>
      </w:r>
    </w:p>
    <w:p>
      <w:r>
        <w:rPr>
          <w:b/>
        </w:rPr>
        <w:t>E. 6.5</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Demnach sind auch die Voraussetzungen zur Annahme "zwingender Gründe" im Sinne von Art. 3 AsyIG in Verbin- dung mit Art. 1C Ziff. 5 Abs. 2 FK nicht gegeben (vgl. BVGE 2009/51 E. 4.2.7 m.w.H.)</w:t>
      </w:r>
    </w:p>
    <w:p>
      <w:r>
        <w:rPr>
          <w:b/>
        </w:rPr>
        <w:t>E. 6.6</w:t>
      </w:r>
    </w:p>
    <w:p>
      <w:r>
        <w:t>Zusammenfassend ist festzustellen, dass die geltend gemachten Asyl- gründe nicht geeignet sind, eine asyl- respektive flüchtlingsrechtlich rele- vante Verfolgung im Sinne von Art. 3 AsylG beziehungsweise eine entspre- chende objektiv begründete Verfolgungsfurcht glaubhaft zu machen. Dem- nach hat die Vorinstanz zu Recht die Flüchtlingseigenschaft verneint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w:t>
      </w:r>
    </w:p>
    <w:p>
      <w:r>
        <w:t>D-4927/2023 Seite 11 (vgl. BVGE 2013/37 E. 4.4; BVGE 2009/50 E. 9, je m.w.H.). Die Wegwei- 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8.2.2</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8.2.3</w:t>
      </w:r>
    </w:p>
    <w:p>
      <w:r>
        <w:t>Sodann ergeben sich weder aus den Aussagen des Beschwerde- führers noch aus den Akten Anhaltspunkte dafür, dass er für den Fall einer</w:t>
      </w:r>
    </w:p>
    <w:p>
      <w:r>
        <w:t>D-4927/2023 Seite 12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würden (vgl. Urteil des EGMR Saadi gegen Italien 28. Februar 2008, Grosse Kammer 37201/06, §§ 124– 127 m.w.H.). Der EGMR hat zudem wiederholt festgestellt, dass nicht ge- nerell davon auszugehen sei, Rückkehrern drohe in Sri Lanka eine un- 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Die vom EGMR genannten Faktoren sind im Wesentlichen durch die im Referenzurteil des Bundesverwaltungsgerichts E-1866/2015 vom 15. Juli 2016 in den Erwägungen 8.4 und 8.5 identifizierten Risikofaktoren abgedeckt. Vorliegend wurde bereits festgestellt, dass aufgrund der Akten- lage nicht davon auszugehen ist, dass der Beschwerdeführer bei einer Rückkehr aus der Schweiz nach Sri Lanka die Aufmerksamkeit der sri-lan- kischen Behörden in einem flüchtlingsrechtlich relevanten Ausmass auf sich ziehe. Demnach bestehen auch keine Anhaltspunkte dafür, dass ihm aus denselben Gründen eine menschenrechtswidrige Behandlung im Hei- matland drohen würde. Die allgemeine Menschenrechtssituation in Sri Lanka lässt den Wegweisungsvollzug im heutigen Zeitpunkt ebenfalls nicht als unzulässig erscheinen. Dies gilt auch unter Berücksichtigung der jüngs- ten politischen Entwicklungen in Sri Lanka (vgl. die Referenzurteile E–737/2020 vom 27. Februar 2023 E. 10.1.1 ff., E–1866/2015 E. 12.2 f.).</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w:t>
      </w:r>
    </w:p>
    <w:p>
      <w:r>
        <w:t>D-4927/2023 Seite 13 16. Oktober 2017 hat das Bundesverwaltungsgericht eine aktuelle Ein- schätzung der Lage in Sri Lanka vorgenommen. Dabei stellte es fest, dass der Wegweisungsvollzug sowohl in die Nordprovinz als auch in die Ostpro- vinz unter Einschluss des sogenannten Vanni-Gebiets zumutbar ist, wenn das Vorliegen von individuellen Zumutbarkeitskriterien bejaht werden kann. Zu den individuellen Zumutbarkeitskriterien gehören insbesondere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 Nach Prüfung der Akten kommt das Gericht zum Schluss, dass die Vor- instanz zu Recht das Bestehen individueller Wegweisungsvollzugs- hindernisse verneint hat. Der junge Beschwerdeführer verfügt über eine gute Ausbildung und Berufserfahrung als Automechaniker (vgl. A15/9 F19), weshalb zu erwarten ist, dass er sich im Heimatstaat wirtschaftlich schnell wieder zu integrieren vermag. Zudem leben weiterhin zahlreiche seiner Verwandten – zu welchen er weiterhin den Kontakt pflegt – in Sri Lanka (vgl. A15/19 F11 ff.). Sollte der Beschwerdeführer wider Erwarten auf Unterstützung angewiesen sein, ist demnach davon auszugehen, dass er auf sein umfangreiches Beziehungsnetz zurückgreifen kann. Auch die beim Beschwerdeführer diagnostizierte Posttraumatische Belastungs- störung (vgl. Beschwerdebeilage 10) steht dem Wegweisungsvollzug nicht entgegen, zumal es sich dabei nicht um eine schwere Erkrankung handelt und allenfalls notwendige Behandlungen und Medikamente in Sri Lanka erhältlich gemacht werden können (vgl. Urteil des BVGer D–4163/2017 vom 13. Juli 2023, E. 12.3.4) Nach dem Gesagten erweist sich der Vollzug der Wegweisung sowohl in genereller als auch in individueller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t>D-4927/2023 Seite 14</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Mit Zwischenverfügung vom 27. September 2023 nahm das Gericht die Eingabe des Beschwerdeführers vom 22. September 2023 als Gesuch um wiedererwägungsweise Gewährung der unentgeltlichen Prozessfüh- rung und Rechtsverbeiständung entgegen. Die Sichtung des auf Be- schwerdeebene eingereichten USB-Sticks, auf welchem sich lediglich eine kaum aussagekräftige 29 Sekunden kurze Videosequenz befindet (vgl. E. 6.3 hiervor), welche wiederum den in der ursprünglichen E-Mail- Eingabe enthaltenen Fotografien entspricht, rechtfertigt es nicht, die mit Zwischenverfügung vom 20. September 2023 erfolgte Abweisung des Ge- suches um Gewährung der unentgeltlichen Rechtspflege in Wiedererwä- gung zu ziehen. An der mit Zwischenverfügung vom 20. September 2023 festgestellten Aussichtslosigkeit der Begehren und damit der Abweisung der vorgenannten Gesuche ist demnach festzuhalten. Die mit derselben Verfügung erfolgte Erhebung des Kostenvorschusses wird mit vorliegen- dem Urteil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D-4927/2023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