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D-4926/2021 vom 20. April 2022</w:t>
      </w:r>
    </w:p>
    <w:p>
      <w:r>
        <w:t>Bundesverwaltungsgericht, 2022-04-20, FR</w:t>
      </w:r>
    </w:p>
    <w:p>
      <w:r>
        <w:rPr>
          <w:b/>
        </w:rPr>
        <w:t xml:space="preserve">Quelle: </w:t>
      </w:r>
      <w:r>
        <w:t>https://mcp.opencaselaw.ch/entscheid/bvger_D-4926_2021</w:t>
      </w:r>
    </w:p>
    <w:p>
      <w:r>
        <w:t>FR: TAF D-4926/2021 du 20 avril 2022</w:t>
      </w:r>
    </w:p>
    <w:p>
      <w:r>
        <w:t>IT: TAF D-4926/2021 del 20 aprile 2022</w:t>
      </w:r>
    </w:p>
    <w:p>
      <w:pPr>
        <w:pStyle w:val="Heading2"/>
      </w:pPr>
      <w:r>
        <w:t>Regeste</w:t>
      </w:r>
    </w:p>
    <w:p>
      <w:r>
        <w:t>Asile (non-entrée en matière / après réouverture de la procédure) et renvoi</w:t>
      </w:r>
    </w:p>
    <w:p>
      <w:pPr>
        <w:pStyle w:val="Heading2"/>
      </w:pPr>
      <w:r>
        <w:t>Erwägungen</w:t>
      </w:r>
    </w:p>
    <w:p>
      <w:r>
        <w:rPr>
          <w:b/>
        </w:rPr>
        <w:t>E. 27</w:t>
      </w:r>
    </w:p>
    <w:p>
      <w:r>
        <w:t>octobre 2021 consid. IV p. 4), que par ailleurs, s’il a certes relevé que le requérant pourrait requérir la protection de l’Etat algérien, il n’a toutefois pas expressément considéré sa demande comme d’emblée vouée à l’échec ; qu’en outre, au vu du caractère vague et générique des motifs allégués (cf. ibidem), il ne disposait pas de suffisamment d’éléments pour se déterminer valablement à ce sujet, qu’en application de l’art. 52 al. 2 et 3 PA, le SEM était donc tenu d’accorder à l’intéressé un court délai supplémentaire pour régulariser sa demande, en l’avisant que si le délai n’était pas utilisé, il statuerait sur la base du dossier ou que si les motifs manquaient, il déclarerait la demande irrecevable, que c’est en conséquence à tort que le SEM n’est d’emblée pas entré en matière sur la demande de l’intéressé, sans lui avoir accordé au préalable un court délai pour régulariser sa demande, qu’au vu de ce qui précède, le recours est admis, dans le sens que la décision du 27 octobre 2021 est annulée et la cause renvoyée à l’autorité inférieure pour instruction complémentaire dans le sens des considérants et nouvelle décision (art. 61 al. 1 PA), que le recours s'avérant manifestement fondé, il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qu’il n’est dès lors pas perçu de frais de procédure (art. 63 al. 1 et 2 PA),</w:t>
      </w:r>
    </w:p>
    <w:p>
      <w:r>
        <w:t>D-4926/2021 Page 5 qu’il n’y a par ailleurs pas lieu d’allouer des dépens au recourant (art. 64 al. 1 PA), dès lors que celui-ci a agi seul et n’a pas allégué que la procédure de recours lui avait occasionné des frais relativement élevés (art. 7 al. 1 et 4 du règlement du 21 février 2008 concernant les frais, dépens et indemnités fixés par le Tribunal administratif fédéral [FITAF, RS 173.320.2]),</w:t>
      </w:r>
    </w:p>
    <w:p>
      <w:r>
        <w:t>(dispositif page suivante)</w:t>
      </w:r>
    </w:p>
    <w:p>
      <w:r>
        <w:t>D-4926/2021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