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D-4910/2015 vom 21. Juni 2017</w:t>
      </w:r>
    </w:p>
    <w:p>
      <w:r>
        <w:t>Bundesverwaltungsgericht, 2017-06-21, DE</w:t>
      </w:r>
    </w:p>
    <w:p>
      <w:r>
        <w:rPr>
          <w:b/>
        </w:rPr>
        <w:t xml:space="preserve">Quelle: </w:t>
      </w:r>
      <w:r>
        <w:t>https://mcp.opencaselaw.ch/entscheid/bvger_D-4910_2015</w:t>
      </w:r>
    </w:p>
    <w:p>
      <w:r>
        <w:t>FR: TAF D-4910/2015 du 21 juin 2017</w:t>
      </w:r>
    </w:p>
    <w:p>
      <w:r>
        <w:t>IT: TAF D-4910/2015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Der Beschwerdeführer rügt unter anderem, dass der rechtserhebliche Sachverhalt durch das SEM nur unvollständig erhoben respektive die Begründungspflicht verletzt und damit sein Anspruch auf rechtliches Gehör verletzt worden sei. Diese verfahrensrechtlichen Rügen sind vorab zu prüfen, da sie allenfalls geeignet sind, eine Kassation der vorinstanzlichen Verfügung zu bewirken (vgl. Entscheidungen und Mitteilungen der [vormaligen] Schweizerischen Asylrekurskommission [EMARK] 2004 Nr. 38). Im Asylverfahren gilt der Untersuchungsgrundsatz. Die Parteien haben Anspruch auf rechtliches Gehör (Art. 29 Abs. 2 BV, Art. 29 und Art. 32 Abs. 1 VwVG), das alle Befugnisse umfasst, die einer Partei einzuräumen sind, damit sie ihren Standpunkt wirksam zur Geltung bringen kann (vgl. BGE 135 II 286 E. 5.1 [S. 293]; BVGE 2009/35 E. 6.4.1).</w:t>
      </w:r>
    </w:p>
    <w:p>
      <w:r>
        <w:rPr>
          <w:b/>
        </w:rPr>
        <w:t>E. 3.2</w:t>
      </w:r>
    </w:p>
    <w:p>
      <w:r>
        <w:t>Die Behörde ist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w:t>
      </w:r>
    </w:p>
    <w:p>
      <w:r>
        <w:rPr>
          <w:b/>
        </w:rPr>
        <w:t>E. 4.1</w:t>
      </w:r>
    </w:p>
    <w:p>
      <w:r>
        <w:t>In der Beschwerde wird ausgeführt, das SEM habe bei der Altersbestimmung die Aussagen des Beschwerdeführers sowie das erstellte forensische Gutachten berücksichtigt, nicht jedoch die eingereichten Dokumente, welche - bei rechtsgenüglicher Würdigung - zu einer abweichenden Alterseinschätzung hätten führen können. Das SEM habe es versäumt, die eingereichten Dokumente einer eingehenden Prüfung zu unterziehen. Nur aufgrund der Angaben des SEM, der Beschwerdeführer sei volljährig, hätten sich die ungarischen Behörden zur Rückübernahme bereit erklärt. Das SEM hielt die Volljährigkeit im angefochtenen Entscheid für erstellt und hielt die eingereichten Beweismittel nicht für erheblich, da diese leicht zu fälschen seien und auch gefälligkeitshalber ausgestellt, beziehungsweise verkauft würden und auch von Europa aus organisiert werden könnten. Auch die Einwände der Rechtsvertreterin im Zusammenhang mit dem Altersgutachten seien nicht relevant, es sei nicht ersichtlich, wie ein anderes Ausgangsalter das Ergebnis des Gutachters zu Gunsten des Beschwerdeführers hätte beeinflussen können.</w:t>
      </w:r>
    </w:p>
    <w:p>
      <w:r>
        <w:rPr>
          <w:b/>
        </w:rPr>
        <w:t>E. 4.2</w:t>
      </w:r>
    </w:p>
    <w:p>
      <w:r>
        <w:t>Da vorliegend allenfalls Art. 8 Abs. 4 Dublin-III-VO einschlägig sein könnte, demgemäss bei unbegleiteten Minderjährigen ohne familiären Anknüpfungspunkt derjenige Mitgliedstaat zuständig ist, in welchem der unbegleitete Minderjährige zuletzt seinen Antrag auf internationalen Schutz gestellt hat (vgl. in diesem Zusammenhang das Urteil des Europäischen Gerichtshofs [EuGH] vom 6. Juni 2013 in der Rechtssache C-648/11, M.A., B.T. und D.A. vs. Vereinigtes Königreich), ist zunächst zu prüfen, ob das SEM aufgrund der Aktenlage berechtigterweise davon ausgehen durfte, dass es dem Beschwerdeführer nicht gelungen sei, die von ihm geltend gemachte Minderjährigkeit glaubhaft zu machen. Hierzu ist festzuhalten, dass die asylsuchende Person grundsätzlich die Beweislast für die von ihr behauptete Minderjährigkeit trägt (vgl. EMARK 2004 Nr. 30 E. 5.2). Im Rahmen einer Gesamtwürdigung ist eine Abwägung sämtlicher Anhaltspunkte, welche für oder gegen die Richtigkeit der betreffenden Altersangaben sprechen, vorzunehmen (vgl. a.a.O. E. 5.3.4).</w:t>
      </w:r>
    </w:p>
    <w:p>
      <w:r>
        <w:rPr>
          <w:b/>
        </w:rPr>
        <w:t>E. 4.3</w:t>
      </w:r>
    </w:p>
    <w:p>
      <w:r>
        <w:t>Vorliegend - wie üblich im Rahmen der laufenden Testphase - wurde zur Altersabklärung eine umfassende forensische Untersuchung am Universitätsspital Zürich vorgenommen. Neben der radiologischen Handknochenanalyse fanden noch weitergehende Untersuchungen statt (vgl. Bst. E). Beim im Rahmen der Altersabklärung erstellten forensischen Gutachten handelt es sich daher um ein umfassendes Sachverständigengutachten im Sinne von Art. 12 Bst. e VwVG. Das Alter des Beschwerdeführers wurde von einem ausgewiesenen Experten aufgrund verschiedener, voneinander unabhängiger Untersuchungen eingeschätzt. Es ist davon auszugehen, dass diesen Untersuchungsergebnissen ein höherer Beweiswert zukommt, als der Handknochenanalyse (vgl. zu deren Beweiswert, EMARK 2000 Nr. 19, insbesondere E. 7 [Grundsatzentscheid, bestätigt u.a. in EMARK 2000 Nr. 28 E. 5a, 2001 Nr. 23 E. 4b und weiteren Entscheiden]). Das Gutachten kommt zum Schluss, dass der Beschwerdeführer sicher das 19. Lebensjahr vollendet hat und damit volljährig ist. Es geht von einem tatsächlichen Alter von 22 bis 24 Jahren aus. Der Einwand, wonach als Ausgangslage für das Gutachten von einem Alter von 18 Jahren und sechs Monaten ausgegangen wurde und nicht von einem Alter von 17 Jahren, wie es der Beschwerdeführer angegeben hat, ändern am Ergebnis nichts. Die Analysen erfolgten völlig losgelöst von dieser Annahme. Das Gericht hat keinen Anlass, an den Feststellungen im Gutachten vom 9. Juli 2015 zu zweifeln und geht wie die Vorinstanz davon aus, dass der Beschwerdeführer volljährig ist.</w:t>
      </w:r>
    </w:p>
    <w:p>
      <w:r>
        <w:rPr>
          <w:b/>
        </w:rPr>
        <w:t>E. 4.4</w:t>
      </w:r>
    </w:p>
    <w:p>
      <w:r>
        <w:t>Darüber hinaus ist festzuhalten, dass der Beschwerdeführer bei den Befragungen häufig unklare Angaben zu seinem Alter gemacht hat, beziehungsweise Mühe hatte, genau zu erklären, wie alt er sei (vgl. act. A13/17, F. 35, 36; F. 46 - 54). Es wäre im Länderkontext Afghanistan auch nicht auszuschliessen, dass er sein genaues Geburtsdatum gar nicht kennt. Berichten zufolge ist vielen Afghaninnen und Afghanen mangels korrekter Registerführung ihr genaues Geburtsdatum nicht bekannt (vgl. Joseph Goldstein, For Afghans, Name and Birthdate Census Questions Are Not So Simple, The New York Times, 10.12.2014, besucht am 19.06.2017). Es wäre sogar möglich, dass der Beschwerdeführer sich für minderjährig hält, obwohl er bereits volljährig ist. Zwar ist die Rüge zutreffend, dass das SEM die eingereichten Dokumente nicht auf ihre Echtheit hat überprüfen lassen. Allerdings hat der Beschwerdeführer seinerseits nicht erläutert, auf welchem Weg er diese erhalten hat. Er reichte das Originalcouvert der Briefsendung nicht ein. Es ist ferner bekannt, dass eine Tazkira gemäss Angaben, welche nicht weiter überprüft werden, auf Bestellung ausgestellt werden kann. Diese Umstände sprechen bei einer Gesamtbetrachtung ebenfalls gegen die behauptete Minderjährigkeit. Der Vorinstanz ist hinsichtlich der rechtlichen Würdigung und der Erstellung des Sachverhalts in diesem Punkt mitnichten ein Vorwurf zu machen. Die behauptete Minderjährigkeit ist daher nicht glaubhaft gemacht worden, weshalb Art. 8 Abs. 4 Dublin-III-VO nicht zur Anwendung kommt.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5.5</w:t>
      </w:r>
    </w:p>
    <w:p>
      <w:r>
        <w:t>Der Beschwerdeführer bestreitet zwar nicht, in Ungarn seine Fingerabdrücke abgegeben zu haben er habe allerdings nie ein Asylgesuch einreichen wollen und sei dazu gezwungen worden. Die grundsätzliche Zuständigkeit Ungarns ist gegeben.</w:t>
      </w:r>
    </w:p>
    <w:p>
      <w:r>
        <w:rPr>
          <w:b/>
        </w:rPr>
        <w:t>E. 6.1</w:t>
      </w:r>
    </w:p>
    <w:p>
      <w:r>
        <w:t>Die schweizerischen Behörden müssen sicherstellen, dass der Beschwerdeführer im Falle einer Überstellung nach Ungarn nicht einer dem internationalen Recht und insbesondere Art. 3 EMRK widersprechenden Behandlung ausgesetzt ist, wobei sie in diesem Falle zum Selbsteintritt verpflichtet wären.</w:t>
      </w:r>
    </w:p>
    <w:p>
      <w:r>
        <w:rPr>
          <w:b/>
        </w:rPr>
        <w:t>E. 6.2</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Denn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6.3</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6.4</w:t>
      </w:r>
    </w:p>
    <w:p>
      <w:r>
        <w:t>Die Beschwerde wird gutgeheissen. Das SEM ist aufgefordert, bei seiner erneuten Entscheidung den Gesundheitszustand des Beschwerdeführers angemessen zu berücksichtigen. Die vorinstanzlichen Akten sowie das Beschwerdedossier, welches ebenfalls Prozessstoff des vor-instanzlichen Verfahrens bilden wird, werden dem SEM zugestellt.</w:t>
      </w:r>
    </w:p>
    <w:p>
      <w:r>
        <w:rPr>
          <w:b/>
        </w:rPr>
        <w:t>E. 7.1</w:t>
      </w:r>
    </w:p>
    <w:p>
      <w:r>
        <w:t>Bei diesem Ausgang des Verfahrens sind keine Kosten zu erheben (Art. 63 Abs. 1 und 2 VwVG).</w:t>
      </w:r>
    </w:p>
    <w:p>
      <w:r>
        <w:rPr>
          <w:b/>
        </w:rPr>
        <w:t>E. 7.2</w:t>
      </w:r>
    </w:p>
    <w:p>
      <w:r>
        <w:t>Dem vertretenen Beschwerdeführer wäre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Allerdings wurde sein Verfahren im Testbetrieb des Verfahrenszentrums des SEM in Zürich behandelt und es kam die Testphasenverordnung vom 4. September 2013 (TestV, SR 142.318.1) zur Anwendung. Nach Art. 28 TestV richtet das BFM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