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D-4910/2010 vom 4. März 2011</w:t>
      </w:r>
    </w:p>
    <w:p>
      <w:r>
        <w:t>Bundesverwaltungsgericht, 2011-03-04, DE</w:t>
      </w:r>
    </w:p>
    <w:p>
      <w:r>
        <w:rPr>
          <w:b/>
        </w:rPr>
        <w:t xml:space="preserve">Quelle: </w:t>
      </w:r>
      <w:r>
        <w:t>https://mcp.opencaselaw.ch/entscheid/bvger_D-4910_2010</w:t>
      </w:r>
    </w:p>
    <w:p>
      <w:r>
        <w:t>FR: TAF D-4910/2010 du 4 mars 2011</w:t>
      </w:r>
    </w:p>
    <w:p>
      <w:r>
        <w:t>IT: TAF D-4910/2010 del 4 marzo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sowie Art. 105 und Art. 6 AsylG).</w:t>
      </w:r>
    </w:p>
    <w:p>
      <w:r>
        <w:rPr>
          <w:b/>
        </w:rPr>
        <w:t>E. 1.3</w:t>
      </w:r>
    </w:p>
    <w:p>
      <w:r>
        <w:t>Die Beschwerde ist frist- und formgerecht eingereicht (Art. 108 Abs. 1 AsylG und Art. 52 VwVG). Die Beschwerdeführenden sind durch die angefochtene Verfügung besonders berührt und haben ein schutzwürdiges Interesse an deren Aufhebung beziehungsweise Änderung; sie sind daher zur Einreichung der Beschwerde legitimiert (Art. 48 Abs. 1 VwVG). Auf die Beschwerde ist einzutreten.</w:t>
      </w:r>
    </w:p>
    <w:p>
      <w:r>
        <w:rPr>
          <w:b/>
        </w:rPr>
        <w:t>E. 1.4</w:t>
      </w:r>
    </w:p>
    <w:p>
      <w:r>
        <w:t>Die Vernehmlassung der Vorinstanz vom 30. August 2010 wurde den Beschwerdeführenden bisher nicht zur Stellungnahme unterbreitet. Aus Gründen der Prozessökonomie ist von einer Gewährung des rechtlichen Gehörs in diesem Zusammenhang abzusehen, weil die angefochtene Verfügung aufgrund der nachstehenden Erwägungen aufzuheben ist. Eine Kopie der Vernehmlassung wird jedoch im Sinne der Verfahrenstransparenz diesem Urteil beigelegt.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3.2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Asylrekurskommission [EMARK] 2004 Nr. 21;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3.3</w:t>
      </w:r>
    </w:p>
    <w:p>
      <w:r>
        <w:t>Ehegatten von Flüchtlingen und ihre minderjährigen Kinder werden als Flüchtlinge anerkannt und erhalten Asyl, sofern keine besonderen Umstände dagegen sprechen (Art. 51 Abs. 1 AsylG). Wurden die anspruchsberechtigten Personen durch die Flucht getrennt und befinden sie sich im Ausland, so ist ihre Einreise auf Gesuch hin zu bewilligen (Art. 51 Abs. 4 AsylG i.V.m. Art. 85 Abs. 7 AuG).</w:t>
      </w:r>
    </w:p>
    <w:p>
      <w:r>
        <w:rPr>
          <w:b/>
        </w:rPr>
        <w:t>E. 4.1</w:t>
      </w:r>
    </w:p>
    <w:p>
      <w:r>
        <w:t>Zur Begründung seines Entscheides führte die Vorinstanz aus, die Anwesenheit der Beschwerdeführenden in der Schweiz sei vorliegend nicht erforderlich, da der Sachverhalt vollständig festgestellt und eine Gefährdung im Aufenthaltsstaat auszuschliessen sei. Die Schilderungen der Beschwerdeführerin liessen zwar darauf schliessen, dass sie ernstzunehmende Schwierigkeiten mit den eritreischen Behörden gehabt habe. Ferner attestiere auch ihr Flüchtlingsausweis der sudanesischen Behörden (COR) beziehungsweise des UNHCR die bestehende Flüchtlingseigenschaft. Indessen liege ein Ausschlussgrund gemäss Art. 52 Abs. 2 AsylG vor. Denn die Beschwerdeführenden befänden sich seit August 2008 im Sudan, seien dort vom UNHCR registriert worden und verfügten über einen entsprechenden sudanesischen Flüchtlingsausweis. Die sudanesischen Behörden hätten ihnen somit Schutz und Aufenthalt gewährt. Die Lage vor Ort sei zwar nicht einfach, es bestünden aber keine konkreten Anhaltspunkte für die Annahme, ein weiterer Verbleib im Sudan sei für die Beschwerdeführenden schlechterdings nicht zumutbar oder nicht möglich. Es sei ihnen zuzumuten, in das ihnen zugeteilte Flüchtlingslager Z._______ zurückzukehren, wo sie die nötige Versorgung erhielten. Zu den im Schreiben vom 11. September 2009 erwähnten Informationen auf www.awate.com, wonach tausende eritreische Flüchtlinge aus dem Sudan nach Eritrea deportiert worden seien, gelte es vorab zu bemerken, dass sie von einer oppositionellen Internetplattform stammten und weder als neutral noch als gesichert betrachtet werden könnten. Ausserdem habe die Beschwerdeführerin bei ihrer Befragung am 7. Januar 2010 keine solchen Bedenken geäussert. Nach gesicherten Erkenntnissen des BFM sei das Risiko von Deportationen gering und in jüngster Vergangenheit seien keine solchen bekannt geworden. Die in der Stellungnahme zitierten Berichte des U. S. Committee for Refugees and Immigrants (USCRI), des UK Home Office und der SFH, in denen wiederholt die Rede von regelmässigen Deportationen sei, seien einerseits nicht mit Quellenangaben belegt und stützten sich andererseits ebenfalls auf www.awate.com. Im Bericht des UNHCR vom 29. März 2010 werde zwar beispielsweise die Deportation von 118 eritreischen und äthiopischen Staatsangehörigen im Jahre 2009 erwähnt, diese würden aber nicht als Flüchtlinge oder Asylsuchende bezeichnet. Ferner könne dem Bericht nicht entnommen werden, dass im Sudan kein effektiver Schutz vor Verfolgung zugänglich wäre und schutzsuchenden Menschen aus Eritrea generell eine Rückschaffung drohe. Vielmehr sei darauf hinzuweisen, dass das UNHCR erfolgreich im Sudan tätig sei und auch der sudanesische Staat als Unterzeichner der FK eritreischen Asylsuchenden Schutz gewähre. Der Bericht decke sich mit ihrer bereits erwähnten Ansicht, welche sich auf sehr gute Kenntnisse der Lage vor Ort stütze, wonach Rückschaffungen vereinzelt vorkämen, jedoch gerade in Anbetracht der Vielzahl eritreischer Flüchtlinge und Asylsuchenden im Sudan sehr gering seien. Auch das Bundesverwaltungsgericht bestätige diese Ansicht (Urteil des Bundesverwaltungsgerichtes D-2047/2010 vom 29. April 2010).</w:t>
      </w:r>
    </w:p>
    <w:p>
      <w:r>
        <w:rPr>
          <w:b/>
        </w:rPr>
        <w:t>E. 4.2</w:t>
      </w:r>
    </w:p>
    <w:p>
      <w:r>
        <w:t>Die Beschwerdeführenden hielten den Erwägungen der Vorinstanz entgegen, aufgrund der dürftigen Befragung durch die Botschaft in Khartum sei fraglich, ob der rechtserhebliche Sachverhalt tatsächlich vollständig erhoben worden sei. Die Qualität dieser Befragungen, die inzwischen nicht mehr durchgeführt würden, sei fragwürdig. In der Antwort auf eine Interpellation im Nationalrat habe der Bundesrat Schwierigkeiten eingestanden. Ihre Situation habe sich zudem seit der Verfügung des BFM dahingehend geändert, dass sie mit gravierenden gesundheitlichen Problemen zu kämpfen hätten (Malaria, Hautkrankheiten, Anämie). Aufgrund der schlechten Bedingungen im Z._______ Camp würden eritreische Flüchtlinge dieses so schnell wie möglich verlassen. Auch nach Angaben des UNHCR sei die Situation in den Camps sehr schwierig und eine Integration in die sudanesische Gesellschaft werde nicht angestrebt, sodass der längerfristige Aufenthalt in Z._______ für Familien mit Kindern als unzumutbar erachtet werden müsse. Aber auch die Situation der illegal in Khartum Anwesenden sei prekär. Zudem werde immer wieder von Entführungen und Übergriffen im Camp berichtet, hinter denen die eritreische Regierung vermutet werde. Auch der Bericht des UNHCR vom 29. März 2010 bestätige, dass es von dort zu Deportationen komme und der Einfluss des UNHCR diesbezüglich gering sei. Weiter äussere sich das UNHCR eher zurückhaltend über seine Kenntnisse vor Ort, weshalb die angeblichen Kenntnisse des BFM fraglich seien. Die Beziehungen zwischen Eritrea und dem Sudan hätten sich zudem in den letzten Jahren verbessert, gemäss UNHCR operierten eritreische Agenten im Sudan und auch in den Flüchtlingscamps. Die Verhinderung einer Verletzung des Non-Refoulement-Gebotes sei nach dem Gesagten nicht garantiert. Im Weiteren bedeute die Registrierung durch das UNHCR keineswegs eine dauerhafte Lösung sondern sei in erster Linie dazu da, vorübergehenden Schutz zu gewähren bis zur freiwilligen Rückkehr, lokalen Integration oder Wiederansiedlung in einem Drittstaat. Das UNHCR müsse sich gegenüber dem Sudan diplomatisch verhalten, deshalb könne dem Bericht vom März 2010 nicht entnommen werden, dass im Sudan kein effektiver Schutz vor Verfolgung zugänglich sei und den Schutzsuchenden generell eine Rückschaffung nach Eritrea drohe. Im Unterschied zu den Beschwerdeführenden im vom BFM zitierten Urteil des Bundesverwaltungsgerichts D-2047/2010 vom 29. April 2010 seien sie in Khartum auf sich alleine gestellt und der Sohn zudem an Malaria, die Kinder an einer Hauterkrankung und die Beschwerdeführerin an Anämie erkrankt. Das Argument des BFM, sie hätten keine Ängste geäussert, nach Eritrea ausgeschafft zu werden, sei wenig aussagekräftig. Ihnen seien dazu keine vertiefenden Fragen gestellt worden. Zur Stützung ihrer Vorbringen reichten die Beschwerdeführenden verschiedene Berichte zur Situation eritreischer Flüchtlinge im Sudan und zur Bedeutung der Feststellung der Flüchtlingseigenschaft durch das UNHCR ein.</w:t>
      </w:r>
    </w:p>
    <w:p>
      <w:r>
        <w:rPr>
          <w:b/>
        </w:rPr>
        <w:t>E. 4.3</w:t>
      </w:r>
    </w:p>
    <w:p>
      <w:r>
        <w:t>In seiner ersten Vernehmlassung vom 30. August 2010 wiederholte das BFM seine Ansicht, dass die Gefahr einer Deportation für eritreische Asylbewerber und Flüchtlinge im Sudan sehr gering sei. Weiter könnten die Lebensumstände in den Flüchtlingslagern keineswegs als per se und generell unzumutbar betrachtet werden. Gemäss Auskunft des UNHCR und des COR vom August 2010 stellten diese beiden Organisationen die medizinische Versorgung in den Flüchtlingslagern unentgeltlich sicher und sämtliche Flüchtlinge hätten Zugang dazu. Erwerbslose Flüchtlinge ausserhalb der Lager erhielten vom UNHCR auf Anfrage einen Überweisungsschein für eine unentgeltliche Behandlung. Die Beschwerdeführenden hätten daher Zugang zu kostenloser medizinischer Behandlung, wenn sich sich beim UNHCR oder beim COR in Khartum melden würden.</w:t>
      </w:r>
    </w:p>
    <w:p>
      <w:r>
        <w:rPr>
          <w:b/>
        </w:rPr>
        <w:t>E. 5.1</w:t>
      </w:r>
    </w:p>
    <w:p>
      <w:r>
        <w:t>Die Vorinstanz geht im angefochtenen Entscheid offensichtlich vom Bestehen einer Gefährdungssituation im Heimatstaat der Beschwerdeführenden aus, wird doch ausgeführt, dass die Schilderungen bei der Anhörung durch die Schweizer Vertretung in Khartum darauf schliessen lassen, dass die Beschwerdeführerin ernstzunehmende Schwierigkeiten mit den eritreischen Behörden gehabt habe. Ferner attestiere auch der für die Beschwerdeführerin ausgestellte Flüchtlingsausweis der sudanesischen Behörden (COR) beziehungsweise des UNHCR die bestehende Flüchtlingseigenschaft. Allerdings verweigert die Vorinstanz die Einreise und schliesst die Gewährung von Asyl aufgrund von Art. 20 Abs. 2 und 3 AsylG i.V.m. Art. 52 Abs. 2 AsylG aus. Im Folgenden ist damit zunächst zu prüfen, ob die Vorinstanz zu Recht vom Vorliegen des Asylausschlussgrundes gemäss Art. 52 Abs. 2 AsyG ausgegangen ist.</w:t>
      </w:r>
    </w:p>
    <w:p>
      <w:r>
        <w:rPr>
          <w:b/>
        </w:rPr>
        <w:t>E. 5.2</w:t>
      </w:r>
    </w:p>
    <w:p>
      <w:r>
        <w:t>Wie die Vorinstanz in der angefochtenen Verfügung selbst ausführt, sind im Rahmen des Asylausschlussgrundes von Art. 52 Abs. 2 AsylG praxisgemäss "die Kriterien zu prüfen, welche die Zufluchtnahme in diesem Drittstaat als zumutbar erscheinen lassen, und diese sind mit einer allfälligen Beziehungsnähe zur Schweiz abzuwägen. Es gilt also zu prüfen, ob es aufgrund der gesamten Umstände geboten erscheint, dass es gerade die Schweiz ist, die den erforderlichen Schutz einer Person gewähren soll (vgl. EMARK 2004 Nr. 21 E. 4, EMARK 1997 Nr. 15 E. 2f)".</w:t>
      </w:r>
    </w:p>
    <w:p>
      <w:r>
        <w:rPr>
          <w:b/>
        </w:rPr>
        <w:t>E. 5.3</w:t>
      </w:r>
    </w:p>
    <w:p>
      <w:r>
        <w:t>Die Vorinstanz legte sodann zunächst ausführlich dar, weshalb trotz sehr schwierigen Bedingungen für eritreische Flüchtlinge im Sudan nicht von der Unzumutbarkeit des Verbleibs in diesem Drittstaat ausgegangen werden könne. Hingegen unterbleibt eine Abwägung mit einer allfälligen Beziehungsnähe zur Schweiz entgegen der kurz zuvor dargelegten Pflicht eben dieser Abwägung vollständig. Dies obwohl im vorliegenden Fall die Beziehungsnähe der Beschwerdeführerin und ihrer Kinder zur Schweiz offensichtlich wird, befindet sich doch der Ehemann beziehungsweise Vater in der Schweiz (vgl. dazu auch E-2079/2007, E-2247/2009, E-1894/2010, D-4758/2010). Die Vorinstanz hat es damit unterlassen, seine Verfügung genügend zu begründen, weshalb sich bereits deshalb eine Überprüfung durch die Beschwerdeinstanz als schwierig erweist.</w:t>
      </w:r>
    </w:p>
    <w:p>
      <w:r>
        <w:rPr>
          <w:b/>
        </w:rPr>
        <w:t>E. 5.4</w:t>
      </w:r>
    </w:p>
    <w:p>
      <w:r>
        <w:t>Zwar wird in einem nächsten Schritt ausgeführt, dass auch die Voraussetzungen auf Familiennachzug im Sinne von Art. 85 Abs. 7 AuG vorliegend nicht erfüllt sind, zumal die Dreijahresfrist noch nicht abgelaufen sei, weshalb die Einreise auch unter diesem Aspekt nicht gewährt werden könne. Es stellt sich somit zwar die Frage, ob die Vorinstanz davon ausgeht, dass bei Personen, für die ein Familiennachzug im Sinne von Art. 85 Abs. 7 AuG grundsätzlich in Frage käme, unter dem Aspekt des Asylausschlusses gemäss Art. 52 Abs. 2 AsylG eine Abwägung der Beziehungsnähe zur Schweiz prinzipiell ausgeschlossen bleiben müsse. Eine allfällige Begründung für eine solche Interpretation bleibt die Vorinstanz aber ebenfalls schuldig. Nachdem nun ausserdem das Hauptargument der Vorinstanz, die Dreijahresfrist sei noch nicht abgelaufen, zwischenzeitlich ohnehin hinfällig geworden ist - der Ehemann der Beschwerdeführerin ist seit über drei Jahren vorläufig aufgenommen - bleibt ein reformatorischer Entscheid unter allfälliger Heilung der mangelhaften Begründung ausgeschlossen; unabhängig davon, dass das BFM in seiner zweiten Stellungnahme vom 7. Dezember 2010 ausführte, Gesuche um Einbezug in die vorläufige Aufnahme seien beim kantonalen Migrationsamt anhängig zu machen. Der angefochtene Entscheid ist zu kassieren und zur Neubeurteilung im Sinne dieser Erwägungen an die Vorinstanz zurückzuweisen.</w:t>
      </w:r>
    </w:p>
    <w:p>
      <w:r>
        <w:rPr>
          <w:b/>
        </w:rPr>
        <w:t>E. 6</w:t>
      </w:r>
    </w:p>
    <w:p>
      <w:r>
        <w:t>Im Sinne von Art. 20 As. 2 AsylG stellt sich sodann die Frage, ob den Beschwerdeführenden für das weitere Verfahren die Einreise in die Schweiz zu bewilligen ist. Zwar ist vorliegend davon auszugehen, dass die Beschwerdeführenden unter sehr schwierigen Bedingungen in Sudan leben, zumal auch ihre gesundheitliche Verfassung nicht die beste zu sein scheint. Auf der anderen Seite befinden sie sich nunmehr seit mehreren Monaten in diesem Drittstaat und es scheint ihnen zumutbar, den Entscheid der Vorinstanz weiterhin dort abzuwarten, zumal das Risiko einer Deportation nach Eritrea eher gering ist und in den Flüchtlingslagern grundsätzlich für das Nötigste gesorgt wäre.</w:t>
      </w:r>
    </w:p>
    <w:p>
      <w:r>
        <w:rPr>
          <w:b/>
        </w:rPr>
        <w:t>E. 7</w:t>
      </w:r>
    </w:p>
    <w:p>
      <w:r>
        <w:t>Nach dem Gesagten ist die Beschwerde vom 7. Juli 2010 im Sinne der vorstehenden Erwägungen gutzuheissen, die Verfügung des BFM vom 4. Juni 2010 aufzuheben und die Sache zur Neubeurteilung an das BFM zu überweisen.</w:t>
      </w:r>
    </w:p>
    <w:p>
      <w:r>
        <w:rPr>
          <w:b/>
        </w:rPr>
        <w:t>E. 8.1</w:t>
      </w:r>
    </w:p>
    <w:p>
      <w:r>
        <w:t>Bei diesem Ausgang des Verfahrens sind keine Kosten aufzuerlegen (vgl. Art. 63 Abs. 1 und 2 VwVG).</w:t>
      </w:r>
    </w:p>
    <w:p>
      <w:r>
        <w:rPr>
          <w:b/>
        </w:rPr>
        <w:t>E. 8.2</w:t>
      </w:r>
    </w:p>
    <w:p>
      <w:r>
        <w:t>Sodann ist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Auf die Nachforderung einer solchen wird indessen verzichtet (vgl. Art. 14 Abs. 2 VGKE), weil vorliegend der Aufwand des Verfahrens zuverlässig abgeschätzt werden kann. Demnach wird die Parteientschädigung zu Lasten des BFM auf Grund der Akten auf pauschal Fr. 600.- (inklusive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