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D-4909/2012 vom 27. September 2012</w:t>
      </w:r>
    </w:p>
    <w:p>
      <w:r>
        <w:t>Bundesverwaltungsgericht, 2012-09-27, DE</w:t>
      </w:r>
    </w:p>
    <w:p>
      <w:r>
        <w:rPr>
          <w:b/>
        </w:rPr>
        <w:t xml:space="preserve">Quelle: </w:t>
      </w:r>
      <w:r>
        <w:t>https://mcp.opencaselaw.ch/entscheid/bvger_D-4909_2012</w:t>
      </w:r>
    </w:p>
    <w:p>
      <w:r>
        <w:t>FR: TAF D-4909/2012 du 27 septembre 2012</w:t>
      </w:r>
    </w:p>
    <w:p>
      <w:r>
        <w:t>IT: TAF D-4909/2012 del 27 settembre 2012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gemäss Art. 105 AsylG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123 Abs. 2 Bst. a [2. Satzteil] BGG).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des nachträglichen entscheidenden Beweismittels (Art. 123 Abs. 2 Bst. a BGG) geltend und zeigt ausserdem die Rechtzeitigkeit des Revisionsbegehrens auf. Auf das im Übrigen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Bereits die Voraussetzung des unverschuldeten Nicht-Beibringens des neuen Beweismittels im früheren Verfahren ist im vorliegenden Fall zu verneinen. Aus den Vorbringen im Revisionsgesuch sowie aus den Akten ist nicht ersichtlich, wieso der Gesuchsteller das Original der Taskara bei zumutbarer Sorgfalt nicht bereits im Verfahren D-4539/2012 hätte einreichen können, zumal er damals in der Lage war, eine Kopie des entsprechenden Dokuments ins Recht zu legen.</w:t>
      </w:r>
    </w:p>
    <w:p>
      <w:r>
        <w:rPr>
          <w:b/>
        </w:rPr>
        <w:t>E. 3.3</w:t>
      </w:r>
    </w:p>
    <w:p>
      <w:r>
        <w:t>Darüber hinaus ist aber auch das Erfordernis der Erheblichkeit des neuen Beweismittels zu verneinen. Gemäss Art. 123 Abs. 2 Bst. a BGG muss es sich beim im Revisionsbegehren geltend gemachten Beweismittel um ein "entscheidendes Beweismittel" handeln. Diese Erheblichkeit ist zu bejahen, wenn das neu angerufene Beweismittel zu einem anderen Entscheid hätte führen können. Dies ist im vorliegenden Fall zu verneinen. Bereits im Urteil D-4539/2012 wurde bezüglich der Taskara antizipierend festgehalten, dass diesem Dokument - in Anbetracht der widersprüchlichen Aussagen des Gesuchstellers betreffend sein Alter - nur ein sehr geringer Beweiswert zukommt (vgl. Urteil des Bundesverwaltungsgerichts D-4539/2012 vom 5. September 2012 S. 7). Diese Einschätzung ist nach wie vor zutreffend.</w:t>
      </w:r>
    </w:p>
    <w:p>
      <w:r>
        <w:rPr>
          <w:b/>
        </w:rPr>
        <w:t>E. 4</w:t>
      </w:r>
    </w:p>
    <w:p>
      <w:r>
        <w:t>Zusammenfassend ist festzuhalten, dass keine revisionsrechtlich relevanten Gründe dargetan sind. Das Gesuch um Revision des Urteils des Bundesverwaltungsgerichts D-4539/2012 vom 5. September 2012 ist demzufolge abzuweisen.</w:t>
      </w:r>
    </w:p>
    <w:p>
      <w:r>
        <w:rPr>
          <w:b/>
        </w:rPr>
        <w:t>E. 5</w:t>
      </w:r>
    </w:p>
    <w:p>
      <w:r>
        <w:t>Bei diesem Ausgang des Verfahrens sind die Kosten von Fr. 1'200.- dem Gesuchsteller aufzuerlegen (Art. 37 VGG i.V.m. Art. 63 Abs. 1 VwVG i.V.m. Art 68 Abs. 2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