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D-4908/2025 vom 2. Juli 2025</w:t>
      </w:r>
    </w:p>
    <w:p>
      <w:r>
        <w:t>Bundesverwaltungsgericht, 2025-07-02, DE</w:t>
      </w:r>
    </w:p>
    <w:p>
      <w:r>
        <w:rPr>
          <w:b/>
        </w:rPr>
        <w:t xml:space="preserve">Quelle: </w:t>
      </w:r>
      <w:r>
        <w:t>https://mcp.opencaselaw.ch/entscheid/bvger_D-4908_2025_d20250702</w:t>
      </w:r>
    </w:p>
    <w:p>
      <w:r>
        <w:t>FR: TAF D-4908/2025 du 2 juillet 2025</w:t>
      </w:r>
    </w:p>
    <w:p>
      <w:r>
        <w:t>IT: TAF D-4908/2025 del 2 luglio 2025</w:t>
      </w:r>
    </w:p>
    <w:p>
      <w:pPr>
        <w:pStyle w:val="Heading2"/>
      </w:pPr>
      <w:r>
        <w:t>Regeste</w:t>
      </w:r>
    </w:p>
    <w:p>
      <w:r>
        <w:t>Asyl und Wegweisung | Asyl und Wegweisung; Verfügung des SEM vom 2. Juli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t>D-4908/2025 Seite 6</w:t>
      </w:r>
    </w:p>
    <w:p>
      <w:r>
        <w:rPr>
          <w:b/>
        </w:rPr>
        <w:t>E. 1.3</w:t>
      </w:r>
    </w:p>
    <w:p>
      <w:r>
        <w:t>Auf den sinngemässen Antrag um den superprovisorischen Erlass ei- nes Vollzugsstopps und um Gewährung der aufschiebenden Wirkung der Beschwerde ist mangels Rechtsschutzinteresses nicht einzutreten, da der Beschwerde von Gesetzes wegen aufschiebende Wirkung zukommt (Art. 55 Abs. 1 VwVG i.V.m. Art. 6 AsylG), und diese von der Vorinstanz nicht entzogen wurde. 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die Vorinstanz habe den rechtserheblichen Sachverhalt unvollständig festgestellt. Er macht geltend, dass insbeson- dere seine Mitgliedschaft bei der FETÖ, seine Nähe zur Gülen-Bewegung sowie die Verfolgung durch die Familie der Ehefrau nicht genügend abge- klärt worden seien, obwohl dies flüchtlingsrechtliche Aspekte seien und Konsequenzen für einen allfälligen Wegweisungsvollzug darstellen wür- den. Ausserdem beziehe sich der Entscheid der Vorinstanz nicht auf seine Krankheitsgeschichte. Diese formelle Rüge ist vorab zu prüfen, da ihre Be- gründetheit die Kassation der vorinstanzlichen Verfügung bewirken könnte.</w:t>
      </w:r>
    </w:p>
    <w:p>
      <w:r>
        <w:rPr>
          <w:b/>
        </w:rPr>
        <w:t>E. 4.2</w:t>
      </w:r>
    </w:p>
    <w:p>
      <w:r>
        <w:t>Die Vorinstanz hat den rechtserheblichen Sachverhalt rechtsgenüglich festgestellt und ihren Entscheid in tatsächlicher und rechtlicher Hinsicht nachvollziehbar begründet. Der Beschwerdeführer legt keine konkreten Anhaltspunkte dar, welche Zweifel an der vorinstanzlichen Sachverhalts- feststellung zu begründen vermögen. Seine entsprechenden Einwände sind nicht geeignet aufzuzeigen, inwiefern der Sachverhalt unvollständig oder fehlerhaft festgestellt worden sein soll, was auch nicht ersichtlich ist. Bezüglich seiner Krankheitsgeschichte ist ausserdem festzuhalten, dass</w:t>
      </w:r>
    </w:p>
    <w:p>
      <w:r>
        <w:t>D-4908/2025 Seite 7 der Beschwerdeführer im vorinstanzlichen Verfahren weder ernstzuneh- mende gesundheitliche Beschwerden geltend machte noch entsprechende medizinischen Unterlagen einreichte, weshalb das SEM zu Recht von ei- nem vollständig erstellten Sachverhalt ausging. Soweit implizit eine Verlet- zung der Begründungspflicht geltend gemacht wird, ist darauf hinzuweisen, dass gemäss Art. 35 Abs. 1 VwVG Verfügungen so zu begründen sind, dass die betroffene Person den Entscheid nachvollziehen und sachgerecht anfechten kann. Dies ist vorliegend der Fall. Dass die Vorinstanz zu einer anderen Würdigung als die Beschwerdeführer gelangt ist, vermag eine Ver- letzung der Begründungspflicht nicht zu begründen. Die Vorinstanz hat ihre Erwägungen in einer Weise dargelegt, die es den Beschwerdeführern of- fensichtlich ermöglichte, den Entscheid sachgerecht anzufechten.</w:t>
      </w:r>
    </w:p>
    <w:p>
      <w:r>
        <w:rPr>
          <w:b/>
        </w:rPr>
        <w:t>E. 4.3</w:t>
      </w:r>
    </w:p>
    <w:p>
      <w:r>
        <w:t>Nach dem Gesagten erweisen sich die formellen Rügen als unbegrün- det. Der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D-4908/2025 Seite 8</w:t>
      </w:r>
    </w:p>
    <w:p>
      <w:r>
        <w:rPr>
          <w:b/>
        </w:rPr>
        <w:t>E. 6.1</w:t>
      </w:r>
    </w:p>
    <w:p>
      <w:r>
        <w:t>Die Vorinstanz führte in der angefochtenen Verfügung aus, die Vorbrin- gen des Beschwerdeführers den Anforderungen an die Flüchtlingseigen- schaft gemäss Art. 3 AsylG nicht standhalten würden. Bezüglich der in der Türkei erlittenen Nachteile hielt das SEM Folgendes fest: Im Zusammenhang mit den Ereignissen um (…) sei der Beschwer- deführer wohl Opfers eines Betrugs geworden, der nicht in einem in Art. 3 AsylG genannten Motiv gründe. Es stehe dem Beschwerdeführer somit frei, sich mit den ihm zustehenden Rechtsmitteln gegen (…) und gegen allfällige Drohungen oder Nachteile der durch ihn geschädigten Personen mit den ihm zur Verfügung stehenden Rechtsmitteln zu wehren. Auch hin- sichtlich der geltend gemachten Verfolgung aufgrund einer Blutfehde der Familie seiner Ehefrau sei es dem Beschwerdeführer möglich und zumut- bar, sich an die zuständigen türkischen Behörden zu wenden. Weiter stün- den die erlittenen Schläge in seiner Gymnasialzeit in keinem Kausalzusam- menhang mit seiner Ausreise. Bezüglich der geltend gemachten Befürchtung vor künftigen Verfolgungs- massnahmen hielt das SEM fest, dass aus den Akten keine Hinweise zu entnehmen seien, dass der Beschwerdeführer bei einer Rückkehr aus ei- nem in Art. 3 AsylG genannten Motiv verfolgt würde. So sei kein Verfol- gungsinteresse durch den türkischen Staat ersichtlich. Namentlich sei die Stillhaltefrist des gegen ihn ergangenen HABG-Urteils («Hükmün Açiklan- masinin Geri Birakilmasi») bereits abgelaufen, weshalb er in strafrechtli- cher Hinsicht als unbescholten gelte, was auch aus dem eingereichten Strafregisterauszug hervorgehe. Ausserdem seien keine Strafverfahren gegen ihn hängig und er habe sodann auch legal ausreisen können. Hin- sichtlich der Furcht vor (…) bestünden keine Hinweise dafür, dass dieser oder sonst jemand strafrechtlich gegen den Beschwerdeführer vorgegan- gen sei. Ausserdem stehe es dem Beschwerdeführer frei, sich bei Über- griffen durch Dritten an die türkischen Behörden zu wenden.</w:t>
      </w:r>
    </w:p>
    <w:p>
      <w:r>
        <w:rPr>
          <w:b/>
        </w:rPr>
        <w:t>E. 6.2</w:t>
      </w:r>
    </w:p>
    <w:p>
      <w:r>
        <w:t>Demgegenüber macht die Beschwerdeführer in seiner Beschwerde geltend, dass entgegen den Behauptungen des SEM die erlittenen Nach- teile sehr wohl eine asylbeachtliche Intensität erreichen würden. So habe er aufgrund der erlittenen Gewalt die Schule nicht abschliessen und sein Recht auf Bildung nicht wahrnehmen können, sondern habe zu einem spä- teren Zeitpunkt die Abendschule besuchen müssen. Ausserdem sei ihm und seiner Familie durch Mitglieder der Anti-Terror-Einheit mit dem Tod ge- droht worden. Dies habe bei ihm zu grosser Angst und grossem psy-</w:t>
      </w:r>
    </w:p>
    <w:p>
      <w:r>
        <w:t>D-4908/2025 Seite 9 chischen Druck geführt. Ausserdem sei er bereits seit seiner Jugend Mit- glied der FETÖ gewesen und habe für diese neue Mitglieder rekrutiert. Weiter sei er ein Grossteil seines Lebens politisch aktiv gewesen und gelte als Anhänger der Gülen-Bewegung. Jedoch könne er keine genauen Daten mehr nennen und habe auch keine weiteren Beweise zu seinem politischen Engagement. Ausserdem sei er durch die Familie der Ehefrau bedroht. Er habe keine Möglichkeit mehr, seine Kinder zu kontaktieren, und es sei ihm verboten worden, sich von seiner Ehefrau zu trennen. Auf dem USB-Stick fänden sich Audioaufnahmen der Gewaltandrohungen gegen den Be- schwerdeführer und seine Familie durch die Familie seiner Ehefrau. Auf- grund der politischen Vernetzung der Familie der Ehefrau habe er keine innerstaatliche Fluchtmöglichkeiten. Aufgrund des fehlenden Zugangs zum e-devlet-System wisse er nicht, wie viele Verfahren gegen ihn liefen. Es sei jedoch davon auszugehen, dass er aufgrund seiner Geschichte weiterhin im Visier der türkischen Behörden stehe. Ausserdem sei er mit grosser Wahrscheinlichkeit in den Systemen der Sicherheitsbehörden und des Ge- heimdienstes fichiert.</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auf die ausführlichen und zutreffenden Ausführungen des SEM (s. angefochtene Verfügung S. (…) . und E. 6.1 vorstehend) verwiesen werden. Die Ausführungen in der Beschwerde- schrift sowie die neu eingereichten Beweismittel sind nicht geeignet, zu ei- ner anderen Beurteilung zu gelangen.</w:t>
      </w:r>
    </w:p>
    <w:p>
      <w:r>
        <w:rPr>
          <w:b/>
        </w:rPr>
        <w:t>E. 7.2</w:t>
      </w:r>
    </w:p>
    <w:p>
      <w:r>
        <w:t>Das SEM hat zutreffend festgehalten, dass der Beschwerdeführer keine begründete Furcht vor einer aktuellen asylrelevanten Verfolgung hat. Es liegen auch auf Beschwerdeebene keinerlei Hinweise dafür vor, dass er jemals staatlichen asylrechtlich relevanten Verfolgungsmassnahmen aus- gesetzt gewesen wäre oder solche zu befürchten hätte. Hinsichtlich einer Verfolgung durch Drittpersonen geht das Bundesverwaltungsgericht in ständiger Rechtsprechung davon aus, dass die türkischen Behörden grundsätzlich willens und in der Lage sind, bei Behelligungen oder Über- griffen seitens privater Drittpersonen Schutz zu gewähren und eine funkti- onierende Schutzinfrastruktur zur Verfügung zu stellen (vgl. statt vieler: Re- ferenzurteil des BVGer D-5377/2024 vom 19. November 2024 E. 7.3 m.w.H.). Aus den Akten ergibt sich zudem kein Hinweis, wonach er sich bei türkischen Behörden um Schutz bemüht hat. Die Vorbringen des</w:t>
      </w:r>
    </w:p>
    <w:p>
      <w:r>
        <w:t>D-4908/2025 Seite 10 Beschwerdeführers und die von ihm eingereichten Dokumente vermögen diese Annahmen nicht zu entkräften.</w:t>
      </w:r>
    </w:p>
    <w:p>
      <w:r>
        <w:rPr>
          <w:b/>
        </w:rPr>
        <w:t>E. 7.3</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Im Gegenteil widerspricht seine auf Beschwerdeebene vorge- brachte Behauptung, er sei seit Jahren Mitglied der FETÖ gewesen und gelte als Anhänger der Gülen-Bewegung, direkt seinen eigenen Angaben während der zweiten Anhörung (vgl. (…) ). Auch die Behauptung, wonach er durch die Familie der Ehefrau selbst aktuell bedroht werde, widerspricht den vorherigen Aussagen (vgl. a.a.O (…) ). Hinsichtlich der neuen Beweis- mittel (Zeitungsartikel sowie USB-Stick mit Audio-Aufnahme) ist festzuhal- ten, dass diese weder eine staatliche Verfolgung des Beschwerdeführers zu belegen, noch die grundsätzliche Schutzfähigkeit und Schutzwilligkeit der türkischen Behörden gegenüber Drittpersonen infrage zu stellen ver- mögen.</w:t>
      </w:r>
    </w:p>
    <w:p>
      <w:r>
        <w:rPr>
          <w:b/>
        </w:rPr>
        <w:t>E. 7.4</w:t>
      </w:r>
    </w:p>
    <w:p>
      <w:r>
        <w:t>Zusammenfassend ist festzustellen, dass keine konkreten Hinweise dafür vorliegen, dass der Beschwerdeführer im Zeitpunkt ihrer Ausreise ei- ner flüchtlingsrechtlich relevanten Verfolgung oder einer entsprechenden Verfolgungsgefahr ausgesetzt war oder im Falle ihrer Rückkehr ernsthafte Nachteile im Sinne von Art. 3 Abs. 2 AsylG zu gewärtigen hätte. Demnach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D-4908/2025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Zusammen mit der Vorinstanz ist festzustellen, dass eine Rückkehr des Beschwerdeführers in seinen Heimatstaat unter dem Aspekt von Art. 5 AsylG rechtmässig ist, da es ihm weder gelungen ist eine asylrechtlich er- hebliche Gefährdung nachzuweisen noch glaubhaft zu machen. Sodann ergeben sich auch keine Anhaltspunkte dafür, dass er in der Türkei mit beachtlicher Wahrscheinlichkeit einer nach Art. 3 EMRK oder Art. 1 des Übereinkommens vom 10. Dezember 1984 gegen Folter und andere grau- same, unmenschliche oder erniedrigende Behandlung oder Strafe (FoK, SR 0.105) verbotenen Strafe oder Behandlung ausgesetzt wäre. Der Be- schwerdeführer stellt den zutreffenden vorinstanzlichen Erwägungen in der Beschwerde sodann auch nichts Stichhaltiges entgegen, seine Ausführun- gen erschöpfen sich vielmehr in der Darlegung der allgemeinen Lage. So- weit sein Vorbringen implizit Hinweise auf eine Unzulässigkeit oder Unzu- mutbarkeit im Sinne von Art. 83 Abs. 3 oder 4 AIG entnommen werden können, hat die Vorinstanz diese zutreffend geprüft und verneint. Es sind keine Anhaltspunkte für eine besonders exponierte Position des Beschwer- deführers, die einer Rückkehr in den Herkunftsstaat entgegenstehen würde. Das von der Vorinstanz nachvollziehbar festgestellte tragfähige Be- ziehungsnetz spricht gegen eine Unzumutbarkeit der Rückkehr. Weiter leidet der Beschwerdeführer zwar an (…) . Ausserdem hat er in kurzer Zeit (…) Gewicht verloren. Diese gesundheitlichen Einschränkungen erreichen jedoch weder für sich allein noch in ihrer Gesamtheit die Schwelle eines ernsthaften Krankheitszustands im Sinne der Rechtsprechung zu Art. 3 EMRK. Ebenso wenig ist dargetan, dass im Falle einer Rückkehr mit beachtlicher Wahrscheinlichkeit eine medizinische Notlage drohen würde. Vielmehr ist mit der Vorinstanz davon auszugehen, dass die notwendige medizinische Grundversorgung im</w:t>
      </w:r>
    </w:p>
    <w:p>
      <w:r>
        <w:t>D-4908/2025 Seite 12 Herkunftsstaat des Beschwerdeführers grundsätzlich gewährleistet ist. Es bestehen keine Anhaltspunkte dafür, dass der Beschwerdeführer auf spezifische oder hochspezialisierte medizinische Behandlungen angewiesen wäre, die im Heimatstaat nicht oder nur ungenügend verfügbar wären. Auch aus medizinischer Sicht erscheint der Vollzug der Wegweisung als zumutbar. Im Übrigen bestehen auch keine Hinweise auf eine Unmöglichkeit im Sinne von Art. 83 Abs. 2 AIG.</w:t>
      </w:r>
    </w:p>
    <w:p>
      <w:r>
        <w:rPr>
          <w:b/>
        </w:rPr>
        <w:t>E. 9.3</w:t>
      </w:r>
    </w:p>
    <w:p>
      <w:r>
        <w:t>Die Vorinstanz hat den Vollzug demnach zu Recht als zulässig, zumut- bar und möglich erachtet. Damit fällt die Anordnung einer vorläufigen Auf- nahme ausser Betracht (Art. 83 Abs. 1–4 AIG). Das Eventualbegehren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11.1</w:t>
      </w:r>
    </w:p>
    <w:p>
      <w:r>
        <w:t>Mit dem vorliegenden Urteil ist das Gesuch um Verzicht auf die Erhe- bung eines Kostenvorschusses gegenstandslos geworden.</w:t>
      </w:r>
    </w:p>
    <w:p>
      <w:r>
        <w:rPr>
          <w:b/>
        </w:rPr>
        <w:t>E. 11.2</w:t>
      </w:r>
    </w:p>
    <w:p>
      <w:r>
        <w:t>Aufgrund der offensichtlichen Aussichtslosigkeit der Rechtsbegehren ist das Gesuche um unentgeltliche Prozessführung – ungeachtet der gel- tend gemachten prozessualen Bedürftigkeit – abzuweisen.</w:t>
      </w:r>
    </w:p>
    <w:p>
      <w:r>
        <w:rPr>
          <w:b/>
        </w:rPr>
        <w:t>E. 11.3</w:t>
      </w:r>
    </w:p>
    <w:p>
      <w:r>
        <w:t>Die Kosten von Fr. 750.- sind dem Beschwerdeführer aufzuerlegen (Art. 37 VGG i.V.m. Art. 63 Abs. 1 und Art. 68 Abs. 2 VwVG; Art. 1-3 des Reglements vom 21. Februar 2008 über die Kosten und Entschädigungen vor dem Bundesverwaltungsgericht [VGKE, SR 173.320.2]).</w:t>
      </w:r>
    </w:p>
    <w:p>
      <w:r>
        <w:t>(Dispositiv nächste Seite)</w:t>
      </w:r>
    </w:p>
    <w:p>
      <w:r>
        <w:t>D-4908/2025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