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D-4904/2015 vom 4. September 2015</w:t>
      </w:r>
    </w:p>
    <w:p>
      <w:r>
        <w:t>Bundesverwaltungsgericht, 2015-09-04, DE</w:t>
      </w:r>
    </w:p>
    <w:p>
      <w:r>
        <w:rPr>
          <w:b/>
        </w:rPr>
        <w:t xml:space="preserve">Quelle: </w:t>
      </w:r>
      <w:r>
        <w:t>https://mcp.opencaselaw.ch/entscheid/bvger_D-4904_2015</w:t>
      </w:r>
    </w:p>
    <w:p>
      <w:r>
        <w:t>FR: TAF D-4904/2015 du 4 septembre 2015</w:t>
      </w:r>
    </w:p>
    <w:p>
      <w:r>
        <w:t>IT: TAF D-4904/2015 del 4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so auch vorliegend, endgültig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Beschwerdeführerinnen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Beschwerdeführerinnen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Der Schluss der Vorinstanz, es sei von einer fehlenden Verfolgungssituation der Beschwerdeführerinnen im Zeitpunkt der (illegalen) Ausreise auszugehen, ist als zutreffend zu erachten. Gemäss neuer Rechtsprechung schliesst eine solche Konstellation die Bewilligung zur Einreise aber von vornherein aus (vgl. zum Ganzen BVGE 2012/ 26 E. 7 S. 519 f.). Ungeachtet dessen ist festzuhalten, dass es den Beschwerdeführerinnen darüber hinaus aus nachfolgenden Gründen zuzumuten ist, sich weiter im Sudan aufzuhalten, wo sie bisher hinreichenden Schutz vor künftiger Verfolgung erhalten haben. Die Beschwerdeführerin hält sich mit ihrer Tochter seit mehr als vier Jahren im Sudan und dabei überwiegend in D.______ auf, was den Schluss zulässt, dass die dortigen Schwierigkeiten nicht unüber­windbar sind. Es ist darauf hinzuweisen, dass die Beschwerdeführerin, sollte sie sich an ihrem derzeitigen Aufenthaltsort nicht mehr hinreichend sicher fühlen und sich die dortige sonstige Lebenssituation verschlechtern, über die Möglichkeit verfügt, sich als registrierter Flüchtling mit ihrer Tochter beim UNHCR zu melden und in dem ihnen zugewiesenen Camp zu leben. Gemäss gesicherten Erkenntnissen ist das Risiko einer Deportation oder Verschleppung für Eritreer, die im Sudan vom UNHCR als Flüchtlinge anerkannt sind, gering (vgl. statt vieler Urteil des BVGer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auch kein Profil auf, welches sie mit erheblicher Wahrscheinlichkeit zum Ziel eines Entführungsversuches machen würde. An dieser Einschätzung vermögen die Argumente in der Beschwerde, welche sich überwiegend in einer Wiederholung der bereits im Rahmen des vorinstanzlichen Verfahrens geltend gemachten Vorbringen erschöpfen, nichts zu ändern.</w:t>
      </w:r>
    </w:p>
    <w:p>
      <w:r>
        <w:rPr>
          <w:b/>
        </w:rPr>
        <w:t>E. 6.7</w:t>
      </w:r>
    </w:p>
    <w:p>
      <w:r>
        <w:t>Zusammenfassend ist festzuhalten, dass vorliegend keine konkreten Hin­weise dafür bestehen, die Beschwerdeführerinnen seien gegenwärtig einer Ge­fährdung ausgesetzt oder hätten eine unmittelbar drohende Deportation nach Eritrea oder eine Entführung durch terroristische Gruppen zu befürch­ten. Schliesslich ist festzustellen, dass sich aus der im Asylgesuch geltend gemachten Tatsache, dass sich ein Onkel der Beschwerdeführerin in der Schweiz befinde, keine genügend enge Beziehungsnähe zur Schweiz ergibt, welche zu einer anderen Einschätzung führen würde.</w:t>
      </w:r>
    </w:p>
    <w:p>
      <w:r>
        <w:rPr>
          <w:b/>
        </w:rPr>
        <w:t>E. 7</w:t>
      </w:r>
    </w:p>
    <w:p>
      <w:r>
        <w:t>Die Beschwerdeführerinnen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deren Asylgesuche abgelehnt. 8.Aus diesen Erwägungen ergibt sich, dass die angefochtene Verfügung Bun­desrecht nicht verletzt und den rechtserheblichen Sachverhalt richtig und voll­ständig feststellt (Art. 106 Abs. 1 AsylG). Die Beschwerde ist nach dem Gesagten abzuweisen. 9.Bei diesem Ausgang des Verfahrens wären die Kosten grundsätzlich den Beschwerdeführerinnen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