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D-4902/2007 vom 21. Januar 2008</w:t>
      </w:r>
    </w:p>
    <w:p>
      <w:r>
        <w:t>Bundesverwaltungsgericht, 2008-01-21, DE</w:t>
      </w:r>
    </w:p>
    <w:p>
      <w:r>
        <w:rPr>
          <w:b/>
        </w:rPr>
        <w:t xml:space="preserve">Quelle: </w:t>
      </w:r>
      <w:r>
        <w:t>https://mcp.opencaselaw.ch/entscheid/bvger_D-4902_2007</w:t>
      </w:r>
    </w:p>
    <w:p>
      <w:r>
        <w:t>FR: TAF D-4902/2007 du 21 janvier 2008</w:t>
      </w:r>
    </w:p>
    <w:p>
      <w:r>
        <w:t>IT: TAF D-4902/2007 del 21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Eingabe vom 17. Oktober 2005 zu Recht als zweites Asylgesuch entgegengenommen und sich in dessen Rahmen im Wesentlichen auf die geltend gemachten subjektiven Nachfluchtgründe beschränkt. Dabei ist die Vorinstanz zum Erlass der angefochtenen Verfügung einzig von der iranischen Staatsangehörigkeit des Beschwerdeführers ausgegangen und hat die von Letzterem vorinstanzlich gleichzeitig behauptete F._______ Staatsangehörigkeit mangels Aktenkundigkeit (vgl. dazu insbesondere die abschlägige Antwort der zuständigen F._______ Behörden und die entsprechende Stellungnahme des Beschwerdeführers unter B 14 und 23) im vorliegenden Verfahren unberücksichtigt gelassen (vgl. B 30, S. 2). Entsprechend beschränkt sich der Streitgegenstand auch auf Beschwerdeebene - und ohne präjudizielle Wirkung auf allfällige neuen Erkenntnisse betreffend die vom Beschwerdeführer geltend gemachte F._______ Staatsangehörigkeit - auf die Flüchtlingseigenschaft des Beschwerdeführers mit Bezug auf seinen Heimatstaat Iran sowie gegebenenfalls auf die Frage allfälliger Wegweisungsvollzugshindernisse in das genannte Land (so auch die Rechtsbegehren des Beschwerdeführers in seiner Rechtsmitteleingabe vom 18. Juli 2007). Demnach erfolgt in materieller Hinsicht im vorliegenden Asylverfahren eine Konzentration auf die Frage, ob die neuen Vorbringen des Beschwerdeführers betreffend subjektive Nachfluchtgründe in Bezug auf die Flüchtlingseigenschaft eine ausreichende Relevanz aufweisen beziehungsweise ob der Beschwerdeführer durch sein Verhalten seit rechtskräftigem Abschluss des ersten Asylverfahrens einen Grund für eine zukünftige Verfolgung durch die iranischen Behörden gesetzt hat (vgl. Entscheidungen und Mitteilungen der Schweizerischen Asylrekurskommission EMARK 1998 Nr. 1 E. 5b).</w:t>
      </w:r>
    </w:p>
    <w:p>
      <w:r>
        <w:rPr>
          <w:b/>
        </w:rPr>
        <w:t>E. 3.2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Massgebend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3.3</w:t>
      </w:r>
    </w:p>
    <w:p>
      <w:r>
        <w:t>Der Beschwerdeführer ist gestützt auf die Akten seit Herbst 2005 Mitglied der Organisation DVF, welche von Dr. M.M. im August 2004 gegründet wurde und sich seither als vor allem in der Schweiz aktive Exilorganisation durch gewaltlose öffentliche Auftritte gegen die aktuellen politischen Zustände im Iran bemerkbar gemacht hat. In seiner Eigenschaft als Mitglied der Organisation hat der Beschwerdeführer in den Jahren 2005 bis 2007 an mehreren Kundgebungen teilgenommen, wobei er ausgewiesenermassen Bewilligungsinhaber von zwei Standaktionen im Kanton C._______ ist. Des Weiteren ist er als Verfasser mehrerer Internetartikel in Erscheinung getreten. Mit Bezug auf den Iran ist in genereller Hinsicht weiterhin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w:t>
      </w:r>
    </w:p>
    <w:p>
      <w:r>
        <w:rPr>
          <w:b/>
        </w:rPr>
        <w:t>E. 3.3.1</w:t>
      </w:r>
    </w:p>
    <w:p>
      <w:r>
        <w:t>Das Bundesverwaltungsgericht geht trotz dieser für die Annahme einer Gefährdung sprechenden Elemente - wie nachfolgend ausgeführt wird - davon aus, dass in casu insgesamt keine subjektiven Nachfluchtgründe vorliegen, die bei einer Rückkehr des Beschwerdeführers in den Iran zu einer für die Flüchtlingseigenschaft relevanten Verfolgung führen, weshalb die vorinstanzliche Verfügung zu bestätigen ist. Dabei kann vorab auf die im Wesentlichen zutreffenden Erwägungen der Vorinstanz verwiesen werden (vgl. Bst. E vorstehend), wobei insbesondere mit Blick auf die Rügen des Beschwerdeführers auf Rechtsmittelebene Folgendes zu erwägen bleibt:</w:t>
      </w:r>
    </w:p>
    <w:p>
      <w:r>
        <w:rPr>
          <w:b/>
        </w:rPr>
        <w:t>E. 3.3.2</w:t>
      </w:r>
    </w:p>
    <w:p>
      <w:r>
        <w:t>Vorab ist allgemein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soeben dargelegte Exponierungsgrad kann dem Beschwerdeführer unter Berücksichtigung der von ihm in der Schweiz bis zuletzt ausgeübten exilpolitischen Aktivitäten nicht beigemessen werden, weshalb eine konkrete Gefährdung des Beschwerdeführers bei einer Rückkehr in den Iran auszuschliessen ist.</w:t>
      </w:r>
    </w:p>
    <w:p>
      <w:r>
        <w:rPr>
          <w:b/>
        </w:rPr>
        <w:t>E. 3.3.3</w:t>
      </w:r>
    </w:p>
    <w:p>
      <w:r>
        <w:t>Zu dieser Betrachtung und mit Bezug auf die konkrete Funktion des Beschwerdeführers innerhalb der in Frage stehenden Exilgruppierung fällt zunächst der Umstand ins Gewicht, dass die Organisation selbst den Beschwerdeführer lediglich als "Mitglied" bezeichnet (vgl. Personalkarte für das Jahr 2007 unter B 32). Im Weiteren und darüber hinaus lassen die aktenkundigen Vorbringen des Beschwerdeführers indes Klarheit darüber vermissen, was seine konkrete Funktion innerhalb der DVF ist. Zum Einen weist die Rechtsmitteleingabe dem Beschwerdeführer innerhalb der genannten Vereinigung eine Führungsposition zu, welche sich insbesondere in seinem engen Kontakt mit dem Kantonsverantwortlichen und dem Exekutivkomitee zeige (vgl. daselbst S. 5). Zum Anderen beschreibt sich der Beschwerdeführer gestützt auf die Protokolle der mündlichen Anhörung vom 5. Dezember 2006 ungleich bescheidener als im Kanton C._______ zuständig für die Logistik (vgl. B 30 S. 2; so auch die Bestätigung seitens des Präsidenten des DVF unter B 19), worunter eigenen Angaben zufolge insbesondere das Einholen von Bewilligungen und die Vorbereitung von Veranstaltungen fällt. In seiner Funktion als Organisator von Kundgebungen sind wiederum einzig zwei auf seinen Namen lautende Bewilligungen für Standaktionen im Kanton C._______ aktenkundig, deren Inhalt darüber hinaus lediglich den schweizerischen und mithin nicht den iranischen Behörden bekannt sein dürfte. Angesichts der erläuterten, teils ungereimten Aktenlage erlangen für das Bundesverwaltungsgericht die protokollierten Aussagen des Beschwerdeführers anlässlich der Anhörung vom 5. Dezember 2006 zentrale Bedeutung, woraus sich nach dem Gesagten wiederum keine hohe und in der Öffentlichkeit exponierte Kaderstelle des Beschwerdeführers innerhalb der DVF lesen lässt, die einer eingehenderen Prüfung ihrer Flüchtlingsrelevanz bedarf. Die Vorbringen in der Rechtsmitteleingabe, soweit sie den Beschwerdeführer als wichtigen und folglich exponierten Entscheidungsträger der Organisation darzustellen versuchen, sind demnach als unbelegt zu qualifizieren, weshalb sie keiner weiteren materiellen Auseinandersetzung bedürfen. Gestützt auf die vorstehenden Erwägungen lässt die im vorliegenden Verfahren durch die weiteren Beweismittel dokumentierte Beteiligung des Beschwerdeführers an exilpolitischen Aktivitäten - sei es als Teilnehmer an Kundgebungen oder als Autor von Internetartikeln - von vornherein nicht das Gefährdungspotenzial ersehen, welches der Beschwerdeführer daraus zu ziehen versucht. In Bezug auf die vom Beschwerdeführer publizierten, teils zusammen mit einer deutschen Übersetzung zu den Akten gereichten Internetartikel ist darüber hinaus festzuhalten, dass der jeweilige Inhalt unter dem Namen des Beschwerdeführers nicht über eine summarische Aneinanderreihung von vergangenen politischen Geschehnissen beziehungsweise über pauschale Aussagen zur Situation bestimmter Bevölkerungsgruppen im Iran hinausgehen (vgl. v.a. B 19 und 28). Aus den Inhalten der zu den Akten gereichten Publikationen ist jedenfalls keine hinreichende Differenziertheit zu lesen, um den Eindruck zu vermitteln, dahinter stehe eine Person, die über klar definierte oppositionspolitische Vorstellungen und persönliches Agitationspotenzial verfügt, welches zu einer Gefahr für das Regime im Iran werden könnte. Es ist daher davon auszugehen, dass auch die iranischen Behörden - sollten sie von jenen Artikeln Notiz genommen haben - über das Differenzierungsvermögen verfügen, dies zu erkennen. Im Sinne einer Klarstellung scheint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In diesem Zusammenhang ist den Vorbringen in der Beschwerdeschrift, welche eine angebliche Diskreditierung der politischen Einstellung des Beschwerdeführers seitens der Vorinstanz rügen, damit zu begegnen, dass die Aufgabe der Asylbehörden nicht darin bestehen kann, die innere (politische) Gesinnung eines Asylsuchenden auszuleuchten, sich ihr Prüfungsumfang vielmehr darin erschöpft, die gegen aussen manifestierte, aus Sicht der iranischen Behörden als potenziell gefährlich zu wertende Oppositionstätigkeit der in Frage stehenden Person zu beurteilen. Dass hierbei namentlich die wenig weit zurückreichende exilpolitische Tätigkeit in der Schweiz bei der Beurteilung des politischen Profils des Beschwerdeführers Berücksichtigung findet, erscheint insofern folgerichtig, weshalb die entsprechenden Erwägungen der Vorinstanz, entgegen den Rügen in der Rechtsmitteleingabe, nicht zu beanstanden sind. Zusammenfassend ist festzuhalten, dass - unter Berücksichtigung der Vorbringen und eingereichten Beweismittel - die Einschätzung der Vorinstanz bezüglich einer in flüchtlingsrechtlicher Hinsicht fehlenden politischen Exponiertheit des Beschwerdeführers zutreffend ist. So reicht eine potenzielle Identifizierbarkeit als exilpolitischer Aktivist nicht aus, um daraus abzuleiten, er werde deswegen bei einer Rückkehr in den Iran verfolgt. Vor allem sind keine Hinweise aktenkundig, wonach er in der Schweiz in einer hohen und in der Öffentlichkeit exponierten Kaderstelle einer Exilorganisation tätig (gewesen) wäre. Die Vorbringen in der Rechtsmitteleingabe, welche sich im Wesentlichen auf die mögliche Identifizierbarkeit des Beschwerdeführers durch den iranischen Geheimdienst beschränken, greifen insoweit zu kurz und sind als letztlich nicht entscheidendes Kriterium für die Frage einer flüchtlingsrechtlichen Verfolgung nicht von Bedeutung. Im Weiteren fehlt es an einem Beleg, wonach gegen den Beschwerdeführer aufgrund der genannten Publikationen oder seiner sonstigen Aktivitäten im Iran ein Strafverfahren oder andere behördliche Massnahmen eingeleitet worden wären (vgl. zur Möglichkeit der Eröffnung von Strafverfahren in Abwesenheit SFH, a.a.O., S. 10 mit weiteren Hinweisen). Vor dem Hintergrund möglicher (Straf)verfahren in Abwesenheit überzeugt folglich das Vorbringen in der Beschwerdeschrift nicht, es könne naturgemäss nicht gesagt werden, inwiefern im Iran bereits heute behördliche Massnahmen gegen den Beschwerdeführer ergriffen worden seien.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 Aufgrund der aufgezeigten Sachlage erübrigt es sich, auf weitere Einwendungen in der Beschwerde einzugehen, da diese nicht geeignet sind, einen anderen Entscheid in der Frage der Flüchtlingseigenschaft herbeizuführen. Der rechtserhebliche Sachverhalt wurde im erstinstanzlichen Verfahren ausreichend ermittelt, und es ist demgemäss absehbar, dass aus zusätzlichen Abklärungen keine neuen entscheidwesentlichen Erkenntnisse gewonnen werden könnten. Aus demselben Grund kann auf weitergehende Erörterungen zu den übrigen Beweismitteln verzichtet werden. In Würdigung der gesamten Aktenlage ist alsdann festzustellen, dass der Beschwerdeführer einen flüchtlingsrechtlich bedeutsamen Sachverhalt für die Zeit nach erfolglos durchlaufenem ersten Asylverfahren weder nachgewiesen noch glaubhaft gemacht hat.</w:t>
      </w:r>
    </w:p>
    <w:p>
      <w:r>
        <w:rPr>
          <w:b/>
        </w:rPr>
        <w:t>E. 4.1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Beschwerdeführer verfügt unverändert weder über eine fremdenpolizeiliche Aufenthaltsbewilligung noch einen Anspruch auf Erteilung einer solchen. Die Wegweisung wurde demnach zu Recht angeordnet (Art. 44 Abs. 1 AsylG; EMARK 2001 Nr. 21).</w:t>
      </w:r>
    </w:p>
    <w:p>
      <w:r>
        <w:rPr>
          <w:b/>
        </w:rPr>
        <w:t>E. 4.3</w:t>
      </w:r>
    </w:p>
    <w:p>
      <w:r>
        <w:t>Was den Wegweisungsvollzug betrifft, so hat die Vorinstanz in ihrer angefochtenen Verfügung zutreffend darauf hingewiesen, dass der Grundsatz der Nichtrückschiebung nur Personen schützt, welche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nach den vorstehenden Erwägungen zu den geltend gemachten subjektiven Nachfluchtgründen indes nicht gelungen. Auch die allgemeine Menschenrechtssituation im Iran lässt den Wegweisungsvollzug zum heutigen Zeitpunkt als zulässig erscheinen. Nach dem Gesagten ist der Vollzug der Wegweisung sowohl im Sinne der landes- als auch völkerrechtlichen Bestimmungen zulässig (vgl. Art. 83 Abs. 3 AuG).</w:t>
      </w:r>
    </w:p>
    <w:p>
      <w:r>
        <w:rPr>
          <w:b/>
        </w:rPr>
        <w:t>E. 4.4</w:t>
      </w:r>
    </w:p>
    <w:p>
      <w:r>
        <w:t>Zur Frage der Zumutbarkeit hat der Beschwerdeführer im vorliegenden Verfahren nichts Substanzielles vorgebracht. Demnach ist der Vollzug unverändert als zumutbar zu erachten, zumal keine Hinweise in den Akten dafür bestehen, dass der Beschwerdeführer bei einer Rückkehr in sein Heimatland aus allgemeinen oder individuellen Umständen einer konkreten Gefährdung ausgesetzt wäre (vgl. Art. 83 Abs. 4 AuG).</w:t>
      </w:r>
    </w:p>
    <w:p>
      <w:r>
        <w:rPr>
          <w:b/>
        </w:rPr>
        <w:t>E. 4.5</w:t>
      </w:r>
    </w:p>
    <w:p>
      <w:r>
        <w:t>Schliesslich stehen dem Vollzug der Wegweisung des Beschwerdeführers auch keine praktischen Hindernisse entgegen, weshalb dieser als möglich zu bezeichnen ist (vgl. Art. 83 Abs. 2 AuG).</w:t>
      </w:r>
    </w:p>
    <w:p>
      <w:r>
        <w:rPr>
          <w:b/>
        </w:rPr>
        <w:t>E. 4.6</w:t>
      </w:r>
    </w:p>
    <w:p>
      <w:r>
        <w:t>Insgesamt ist die durch die Vorinstanz verfügte Wegweisung zu bestätigen. Die Vorinstanz hat deren Vollzug zu Recht als zulässig, zumutbar und möglich erachtet. Nach dem Gesagten fällt eine Anordnung der vorläufigen Aufnahme ausser Betracht (Art. 83 Abs. 2-4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Der Beschwerdeführer stellte im Rahmen der Beschwerdebegehren ein Gesuch um Gewährung der unentgeltlichen Rechtspflege. Gemäss Art. 65 Abs. 1 VwVG befreit die Beschwerdeinstanz nach Einreichung der Beschwerde eine Partei, die nicht über die erforderlichen Mittel verfügt, auf Antrag von der Bezahlung der Verfahrenskosten, sofern ihre Begehren nicht aussichtslos erscheinen. Die prozessuale Bedürftigkeit des Beschwerdeführers wurde vorliegend - obwohl durch den Rechtsvertreter in der Rechtmitteleingabe vom 18. Juli 2007 in Aussicht gestellt - bis zum heutigen Zeitpunkt nicht durch eine aktuelle Fürsorgebestätigung oder in anderer Form hinreichend belegt. Das Gesuch um Gewährung der unentgeltlichen Rechtspflege im Sinne von Art. 65 Abs. 1 VwVG ist somit abzuweisen.</w:t>
      </w:r>
    </w:p>
    <w:p>
      <w:r>
        <w:rPr>
          <w:b/>
        </w:rPr>
        <w:t>E. 7</w:t>
      </w:r>
    </w:p>
    <w:p>
      <w:r>
        <w:t>Dem Ausgang des Verfahrens entsprechend sind die Kosten dem Beschwerdeführer aufzuerlegen (Art. 63 Abs. 1 und 5 VwVG) und auf insgesamt Fr. 600.-- festzusetzen (Art. 16 Abs. 1 Bst. a VGG i.V.m. Art. 1 bis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