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D-4900/2016 vom 24. April 2017</w:t>
      </w:r>
    </w:p>
    <w:p>
      <w:r>
        <w:t>Bundesverwaltungsgericht, 2017-04-24, DE</w:t>
      </w:r>
    </w:p>
    <w:p>
      <w:r>
        <w:rPr>
          <w:b/>
        </w:rPr>
        <w:t xml:space="preserve">Quelle: </w:t>
      </w:r>
      <w:r>
        <w:t>https://mcp.opencaselaw.ch/entscheid/bvger_D-4900_2016</w:t>
      </w:r>
    </w:p>
    <w:p>
      <w:r>
        <w:t>FR: TAF D-4900/2016 du 24 avril 2017</w:t>
      </w:r>
    </w:p>
    <w:p>
      <w:r>
        <w:t>IT: TAF D-4900/2016 del 24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iranischer Staatsangehöriger sei und aus E._______ (Iran) stamme, wo er bis zu seiner Ausreise mit seiner Ehefrau gelebt habe. Da sein Bruder depressiv gewesen sei, habe er ihm einen Hund geschenkt, woraufhin sich mehrere Nachbarn beschwert hätten, da Hunde unrein seien. Im Oktober 2015 hätten er und sein Bruder den Hund zum Tierarzt bringen wollen. Vor dem Haus seien sie von Polizisten angehalten und aufgefordert worden, ihnen auf den Posten zu folgen, da Anzeige gegen sie erhoben worden sei. Der Bruder habe befürchtet, man wolle ihm seinen Hund wegnehmen, weshalb er ihn von der Leine gelassen habe. Dieser sei davongerannt und von einem Auto überfahren worden, woraufhin der Bruder die Regierung, die Nachbarn und den Islam beschimpft habe. Ein Polizist habe ihn (Bruder) getreten, so dass er hingefallen sei. Er (Beschwerdeführer) und sein Bruder hätten die Beamten beschimpft und seien gemeinsam geflüchtet. Sie seien zu ihrer Tante nach F._______ gefahren. Diese habe von seiner Mutter erfahren, dass ein Nachbar namens G._______, welcher sehr religiös sei und womöglich für den Geheimdienst arbeite, die Szene gefilmt habe. Er und sein Bruder hätten sich deshalb zur Flucht entschlossen und seien zwei Tage später in die Türkei gereist. Als Beweismittel reichte der Beschwerdeführer eine Kopie seines Shenasnameh sowie Dokumente betreffend seinen Aufenthalt in gewissen Balkanländern ein.</w:t>
      </w:r>
    </w:p>
    <w:p>
      <w:r>
        <w:rPr>
          <w:b/>
        </w:rPr>
        <w:t>E. 4.2</w:t>
      </w:r>
    </w:p>
    <w:p>
      <w:r>
        <w:t>Das SEM begründete seine Verfügung damit, dass keine ausreichenden Anhaltspunkte für eine zukünftige Verfolgungsgefahr vorlägen. So habe der Beschwerdeführer in der Anhörung nicht anzugeben vermocht, was er konkret gegen die Beamten und den Islam gesagt habe. Vielmehr habe er lediglich erklärt, es seien keine angenehmen Wörter gewesen. Ferner könne er auch nicht mit Gewissheit sagen, ob der religiöse Nachbar tatsächlich für den Geheimdienst arbeite und ob er die Videoaufnahmen tatsächlich den Behörden übergeben habe. Diesbezüglich habe er erklärt, der Mann verhalte sich allgemein merkwürdig und er gelte in der Nachbarschaft als Geheimdienstmitarbeiter; sicher sei sich aber niemand. Betreffend das Video habe er ausgeführt, seine Mutter habe gesagt, der Nachbar habe das Geschehen gefilmt. Hinsichtlich der Folgen des Vorfalls habe er vorgebracht, dass die Behörden nach seiner Flucht bei ihm Zuhause gewesen seien und Dokumente (insbesondere Identitätspapiere) beschlagnahmt hätten. Ob man auch nach ihm suche, wisse er nicht. Es sei jedoch davon auszugehen, dass die Behörden sich zu einem späteren Zeitpunkt wieder nach ihm erkundigt oder nach ihm gesucht hätten, würden sie ihn tatsächlich wegen der Beschimpfungen belangen wollen. Da er angegeben habe, täglich mit seiner Frau zu telefonieren, wäre er über eine behördliche Vorsprache sicherlich informiert worden. Seit dem Zwischenfall seien mittlerweile aber acht Monate verstrichen, ohne dass sich in der Angelegenheit etwas getan hätte. Es seien auch keine anderen Gründe ersichtlich, wonach die Behörden ein Interesse an ihm haben könnte, zumal er angegeben habe, bisher keine Probleme mit den heimatlichen Behörden gehabt zu haben. Es sei überdies realitätsfremd, dass er und sein Bruder die Heimat bereits zwei Tage nach dem Vorfall verlassen hätten, obschon ihnen ihre Mutter lediglich geraten habe, nicht nach Hause zurückzukehren und sie auch nicht hätten wissen können, wie sich die Angelegenheit weiter entwickeln würde. Erfahrungsgemäss würden Personen in einer ähnlichen Situation eine gewisse Zeit zuwarten, bevor sie ausser Landes flüchten würden, da kurzfristige Veränderungen der Situation eintreten könnten, welche eine neue Einschätzung der Lage zur Folge hätten.</w:t>
      </w:r>
    </w:p>
    <w:p>
      <w:r>
        <w:rPr>
          <w:b/>
        </w:rPr>
        <w:t>E. 4.3</w:t>
      </w:r>
    </w:p>
    <w:p>
      <w:r>
        <w:t>In der Beschwerdeschrift wurde diesen Erwägungen entgegnet, dass es vor allem am Nachbarn G._______ liege, dass der Beschwerdeführer und sein Bruder in den Fokus der Behörden geraten seien. Die Vermutung, dass es sich dabei um einen Mitarbeiter des Geheimdiensts handle, rühre daher, dass sein Sohn eines Tages mit dessen Dienstwaffe auf der Strasse gespielt habe und, auf die Waffe angesprochen, ausgeführt habe, diese gehöre seinem Vater, welcher beim Geheimdienst arbeite. Kurz nachdem der Beschwerdeführer und sein Bruder das Land verlassen hätten, sei bei ihnen zuhause nach ihnen gesucht worden. Eine der Personen habe sich als H._______ vorgestellt und ergänzt, dass er ein Freund des Nachbarn G._______ sei. Wenige Tage später seien diese Personen erneut zuhause erschienen und hätten den Vater zwecks Befragung auf den Posten mitgenommen. Die Ehefrau sei mehrfach unter Druck gesetzt worden und das Grundstück der Familie sei unrechtmässig durch Drittpersonen verkauft worden. Sie habe den Druck schliesslich nicht mehr ausgehalten und sei zusammen mit der Tochter geflüchtet. Der beiliegende Arztbericht würde die Knieverletzung des Bruders belegen. Als Beweismittel lagen der Beschwerde eine Kopie eines Gerichtsurteils, eine CD-ROM sowie ein Arztzeugnis vom 7. Juli 2016 bei.</w:t>
      </w:r>
    </w:p>
    <w:p>
      <w:r>
        <w:rPr>
          <w:b/>
        </w:rPr>
        <w:t>E. 5.1</w:t>
      </w:r>
    </w:p>
    <w:p>
      <w:r>
        <w:t>Das SEM hat das Vorliegen einer asylrelevanten Verfolgungsgefahr zu Recht verneint. In Ergänzung zu den Ausführungen in der vorinstanzlichen Verfügung ist festzuhalten, dass die Aussagen des Beschwerdeführers betreffend die behördliche Suche nach seiner Person markante Widersprüche zu den Aussagen seiner Ehefrau aufweisen. So gab die Ehefrau zu Protokoll, dass drei Männer einmal nach dem Beschwerdeführer gesucht hätten (vgl. act. B21 F145), während der Beschwerdeführer in der Beschwerdeschrift geltend machte, er sei zweimal zuhause gesucht worden. Gemäss Beschwerdeführer habe sich eine der Personen bei der Hausdurchsuchung mit H._______ vorgestellt und präzisiert, dass er ein Freund des Nachbarn G._______ sei. Die Ehefrau erwähnte in ihrer Fluchtgeschichte zwar ebenfalls eine Person namens H._______, allerdings in einem völlig anderen Zusammenhang, während sie betreffend die Hausdurchsuchung zu Protokoll gab, die Namen der drei Personen nicht zu kennen (vgl. act. B21 F148). Schliesslich brachte die Ehefrau vor, aus der Familie des Beschwerdeführers habe nach dessen Flucht niemand Probleme gehabt (vgl. act. B21 F151), während der Beschwerdeführer in seiner Beschwerdeeingabe geltend machte, sein Vater sei beim zweiten Besuch der Sicherheitskräfte mitgenommen worden. Zu diesen Ungereimtheiten wurde dem Beschwerdeführer mit Zwischenverfügung vom 1. März 2017 das rechtliche Gehör gewährt, ohne dass er in der Folge eine Stellungnahme eingereicht hat. Somit ist es für unglaubhaft zu erachten, dass der Beschwerdeführer derzeit behördlich gesucht wird.</w:t>
      </w:r>
    </w:p>
    <w:p>
      <w:r>
        <w:rPr>
          <w:b/>
        </w:rPr>
        <w:t>E. 5.2</w:t>
      </w:r>
    </w:p>
    <w:p>
      <w:r>
        <w:t>An dieser Feststellung vermögen auch die eingereichten Dokumente nichts zu ändern. Aus den Fotos und Videos, welche die Ehefrau, ihr gemeinsames Kind und einen Hund zeigen, kann ebenso wenig eine Gefährdung abgeleitet werden wie aus der Fotoaufnahme der Flugtickets der Ehefrau und des Kindes sowie den Fotos zweier Visitenkarten türkischer Hotels und zweier Metrokarten. Gleiches gilt für den Arztbericht betreffend den Bruder, zumal sich daraus hinsichtlich der Umstände, welche zu den Kniebeschwerden geführt haben, keine gesicherten Erkenntnisse entnehmen lassen. Auch aus den auf Beschwerdeebene eingereichten Gerichtsdokumenten betreffend die Ehefrau ergibt sich keine Gefährdung. Gemäss Aussage der Ehefrau handle es sich dabei um ein (Betrugs-)Verfahren im Zusammenhang mit einem Immobilienhandel, in welchem sie als Klägerin respektive Geschädigte auftrete. Sie beabsichtige, dieses Verfahren via die iranische Botschaft in der Schweiz weiterzuverfolgen (vgl. act. B21 F113). Daraus ergibt sich weder für den Beschwerdeführer noch für seine Ehefrau eine asylrelevante Gefährdung.</w:t>
      </w:r>
    </w:p>
    <w:p>
      <w:r>
        <w:rPr>
          <w:b/>
        </w:rPr>
        <w:t>E. 5.3</w:t>
      </w:r>
    </w:p>
    <w:p>
      <w:r>
        <w:t>Folglich hat das SEM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Vorinstanz stellt sich zu Recht auf den Standpunkt, dass eine Rückkehr in den Heimatstaat zumutbar ist. So wurden gegen diese Feststellung in der Beschwerdeschrift auch keine Einwände erhoben, weshalb sie zu bestätigen ist.</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7.8</w:t>
      </w:r>
    </w:p>
    <w:p>
      <w:r>
        <w:t>An dieser Stelle ist noch darauf hinzuweisen, dass die Beschwerden der Ehefrau und des Bruders mit heutigen Urteilen D-1133/2017 und D-4902/2016 ebenfalls abgewiesen worden sind.</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mit Zwischenverfügung vom 17. August 2016 jedoch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