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D-4900/2012 vom 24. September 2012</w:t>
      </w:r>
    </w:p>
    <w:p>
      <w:r>
        <w:t>Bundesverwaltungsgericht, 2012-09-24, IT</w:t>
      </w:r>
    </w:p>
    <w:p>
      <w:r>
        <w:rPr>
          <w:b/>
        </w:rPr>
        <w:t xml:space="preserve">Quelle: </w:t>
      </w:r>
      <w:r>
        <w:t>https://mcp.opencaselaw.ch/entscheid/bvger_D-4900_2012</w:t>
      </w:r>
    </w:p>
    <w:p>
      <w:r>
        <w:t>FR: TAF D-4900/2012 du 24 septembre 2012</w:t>
      </w:r>
    </w:p>
    <w:p>
      <w:r>
        <w:t>IT: TAF D-4900/2012 del 24 settembre 2012</w:t>
      </w:r>
    </w:p>
    <w:p>
      <w:pPr>
        <w:pStyle w:val="Heading2"/>
      </w:pPr>
      <w:r>
        <w:t>Regeste</w:t>
      </w:r>
    </w:p>
    <w:p>
      <w:r>
        <w:t>Asilo (non entrata nel merito / dopo la ripresa della procedura)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dev'essere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