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D-48/2013 vom 26. Februar 2013</w:t>
      </w:r>
    </w:p>
    <w:p>
      <w:r>
        <w:t>Bundesverwaltungsgericht, 2013-02-26, DE</w:t>
      </w:r>
    </w:p>
    <w:p>
      <w:r>
        <w:rPr>
          <w:b/>
        </w:rPr>
        <w:t xml:space="preserve">Quelle: </w:t>
      </w:r>
      <w:r>
        <w:t>https://mcp.opencaselaw.ch/entscheid/bvger_D-48_2013</w:t>
      </w:r>
    </w:p>
    <w:p>
      <w:r>
        <w:t>FR: TAF D-48/2013 du 26 février 2013</w:t>
      </w:r>
    </w:p>
    <w:p>
      <w:r>
        <w:t>IT: TAF D-48/2013 del 26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Vorab werden in der Beschwerde formelle Rügen erhoben. Der Rechtsvertreter des Beschwerdeführers habe mit Eingaben vom 19. Dezember 2012 und vom 3. Januar 2013 um Zustellung der Akten zwecks Einsichtnahme ersucht. Die Akteneinsicht sei ihm jedoch verweigert worden. Ferner sei die angefochtene Verfügung nur mangelhaft begründet. Das BFM habe den Eingang der vom Beschwerdeführer in Aussicht gestellten Beweismittel nicht abgewartet und sich weder mit der aktuellen Lage in der Türkei auseinander gesetzt respektive gehe keine solche Auseinandersetzung aus der angefochtenen Verfügung hervor, noch sei in der angefochtenen Verfügung in irgendeiner Weise auf die Ereignisse vom 20. August 2012 Bezug genommen worden.</w:t>
      </w:r>
    </w:p>
    <w:p>
      <w:r>
        <w:rPr>
          <w:b/>
        </w:rPr>
        <w:t>E. 5.1</w:t>
      </w:r>
    </w:p>
    <w:p>
      <w:r>
        <w:t>Das BFM hat dem Rechtsvertreter des Beschwerdeführers erst mit Zwischenverfügung vom 7. Januar 2013 (Ausgangsstempel 8. Januar 2013) Kopien des Aktenverzeichnisses und der gewünschten Akten ausgehändigt, soweit es sich nicht um interne Dokumente gehandelt hat. Mit Zwischenverfügung des Bundesverwaltungsgerichts vom 10. Januar 2013 trug das Bundesverwaltungsgericht diesem Umstand Rechnung und gewährte dem Beschwerdeführer beziehungsweise seinem Rechtsvertreter eine Frist zur Einreichung einer Beschwerdeergänzung. Angesichts der dem Beschwerdeführer gewährten Gelegenheit zur Stellungnahme kann der vorliegende Verfahrensmangel als geheilt erachtet werden (vgl. BVGE 2008/47 E. 3.3.4 S. 676 f.).</w:t>
      </w:r>
    </w:p>
    <w:p>
      <w:r>
        <w:rPr>
          <w:b/>
        </w:rPr>
        <w:t>E. 5.2</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Kölz/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angebotenen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w:t>
      </w:r>
    </w:p>
    <w:p>
      <w:r>
        <w:rPr>
          <w:b/>
        </w:rPr>
        <w:t>E. 5.3</w:t>
      </w:r>
    </w:p>
    <w:p>
      <w:r>
        <w:t>Vor diesem Hintergrund ist festzustellen, dass zusätzliche Abklärungen im vorliegenden Beschwerdeverfahren nicht zu neuen sachdienlichen Erkenntnissen führen könnten beziehungsweise auch im vorinstanzlichen Verfahren nicht entscheiderheblich gewesen wären: In antizipierter Beweiswürdigung ist festzustellen, dass eine ergänzende, vertiefte Sachverhaltsfeststellung bei der Beurteilung des vorliegenden Verfahrens nicht zu einem anderen Entscheid führen könnte.</w:t>
      </w:r>
    </w:p>
    <w:p>
      <w:r>
        <w:rPr>
          <w:b/>
        </w:rPr>
        <w:t>E. 5.4</w:t>
      </w:r>
    </w:p>
    <w:p>
      <w:r>
        <w:t>Zur Frage, ob das BFM im angefochtenen Entscheid die Begründungspflicht verletzt hat, ist Folgendes festzuhalten:</w:t>
      </w:r>
    </w:p>
    <w:p>
      <w:r>
        <w:rPr>
          <w:b/>
        </w:rPr>
        <w:t>E. 5.5</w:t>
      </w:r>
    </w:p>
    <w:p>
      <w:r>
        <w:t>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Diesen Anforderungen hat das BFM mit den ausführlichen Erwägungen im angefochtenen Entscheid Genüge getan. Der Umstand, dass das BFM eine andere Schlussfolgerung zog als der Beschwerdeführer, stellt somit weder eine Verletzung des rechtlichen Gehörs noch eine Ermessensüberschreitung dar, weshalb die entsprechenden Rügen nicht gehört werden können und kein Anlass besteht, die angefochtene Sache zur Neubeurteilung an das BFM zurückzuweisen.</w:t>
      </w:r>
    </w:p>
    <w:p>
      <w:r>
        <w:rPr>
          <w:b/>
        </w:rPr>
        <w:t>E. 6.1</w:t>
      </w:r>
    </w:p>
    <w:p>
      <w:r>
        <w:t>Die Vorbringen in der Beschwerde vom 7. Januar 2013 sowie in der Beschwerdeergänzung vom 25. Januar 2013 sind nicht geeignet eine Änderung der vorinstanzlichen Verfügung zu bewirken. Der Argumentation der Vorinstanz werden keine stichhaltigen und substanziierten Gründe entgegengesetzt. Eine diesbezügliche Auseinandersetzung unterbleibt zwar nicht gänzlich. Die Ausführungen des Beschwerdeführers vermögen jedoch die Erwägungen des BFM nicht umzustossen, zumal der Beschwerdeführer im Wesentlichen an der Asylrelevanz und Glaubhaftigkeit seiner Vorbringen festhält. Der Beschwerdeführer hat den Wortlaut sämtlicher Protokolle mit seiner Unterschrift bestätigt und muss sich deshalb seine Aussagen entgegenhalten lassen, zumal er die übersetzenden Personen anlässlich der Kurzbefragung "gut, sehr gut" verstanden haben will (vgl. A7/10 S. 2), zum Abschluss der Kurzbefragung bekräftigte, den Dolmetscher sehr gut verstanden zu haben und allen bei der Kurzbefragung anwesenden Personen seinen Dank aussprach (vgl. A7/10 S. 8). Darüber hinaus verneinte er die Frage, ob es sonst noch Gründe gebe, die gegen eine Rückkehr in die Türkei sprechen würden (vgl. A7/10 S. 7), und erklärte, er habe keine Zusatzbemerkungen mehr anzubrin­gen (vgl. A7/10 S. 8). Somit ist der Sachverhalt auch unter diesem Aspekt als genügend erstellt zu erachten, weshalb der Einwand des Beschwerdeführers, das Missverständnis im Bezug auf die Jahreszahl 2011 und 2012 beruhe auf einem Missverständnis anlässlich der äusserst rudimentären und nicht im kurdischen Idiom des Beschwerdeführers übersetzten Befragung zur Person, ins Leere stösst. Diesbezüglich ist noch anzumerken, dass der Beschwerdeführer angab, Türkisch sei seine Muttersprache und seine Sprachkenntnisse in Kurdisch (kurmanci) seien für ein Interview nicht ausreichend (vgl. A7/10 S. 3). Soweit der Beschwerdeführer Nachteile aufgrund seiner Zugehörigkeit zur kurdischen Volksgruppe geltend macht, ist an dieser Stelle in Übereinstimmung mit der Vorinstanz festzuhalten, dass diese allfälligen Nachteile schon aufgrund deren mangelnder Intensität nicht als asylrelevant angesehen werden können; die schweizerischen Asylbehörden verneinen denn auch in konstanter Praxis das Vorliegen einer sogenannten Kollektivverfolgung von Kurden aus der Türkei (vgl. bereits Entscheidungen und Mitteilungen der Schweizerischen Asylrekurskommission [EMARK] 1993 Nr. 20 E. 3.a). In Übereinstimmung mit der Vorinstanz ist somit das Bestehen von asylrelevanten glaubhaften Fluchtvorbringen zu verneinen. Am Ergebnis der vorgenommenen Würdigung vermögen auch die auf Beschwerdeebene ins Recht gelegten Bestätigungen des Dorfvorstehers sowie des Bezirksvorstehers [einer Partei] nichts zu ändern, da es sich dabei entgegen den anderslautenden Ausführungen des Beschwerdeführers gerade nicht um amtliche Schreiben handelt, sondern vielmehr um private Schreiben, deren Beweiswert gering ist.</w:t>
      </w:r>
    </w:p>
    <w:p>
      <w:r>
        <w:rPr>
          <w:b/>
        </w:rPr>
        <w:t>E. 6.2</w:t>
      </w:r>
    </w:p>
    <w:p>
      <w:r>
        <w:t>Auf Beschwerdeebene machte der Beschwerdeführer zudem geltend, auch wenn seine bisherigen kurzen Festnahmen bis anhin noch kein Verfahren ausgelöst haben sollten, so sei dies mutmasslich unmittelbar nach seinem Untertauchen geschehen. Denn dadurch habe sich der Verdacht der Behörden bestätigt, dass er etwas zu verbergen habe. Seine Flucht habe somit subjektive Nachfluchtgründe ausgelöst.</w:t>
      </w:r>
    </w:p>
    <w:p>
      <w:r>
        <w:rPr>
          <w:b/>
        </w:rPr>
        <w:t>E. 6.3</w:t>
      </w:r>
    </w:p>
    <w:p>
      <w:r>
        <w:t>Der Beschwerdeführer konnte keine asylrelevante Verfolgung in seiner Heimat glaubhaft darlegen. Inwiefern durch seine Ausreise aus der Türkei eine flüchtlingsrelevante Gefährdungssituation geschaffen worden sein soll, lässt sich den Akten ebenso wenig entnehmen wie ein exilpolitisches Engagement des Beschwerdeführers in der Schweiz. Somit sind im vorliegenden Fall die gemäss Lehre und Rechtsprechung erforderlichen Voraussetzungen für das Bestehen von subjektiven Nachtfluchtgründen nicht gegeben (vgl. Schweizerische Flüchtlingshilfe SFH [Hrsg.], Handbuch zum Asyl- und Wegweisungsverfahren, Bern 2009, S. 203 Ziff. 3.3.2; BVGE 2009/28 E.7.1; BVGE 2009/29 E. 5.2).</w:t>
      </w:r>
    </w:p>
    <w:p>
      <w:r>
        <w:rPr>
          <w:b/>
        </w:rPr>
        <w:t>E. 6.4</w:t>
      </w:r>
    </w:p>
    <w:p>
      <w:r>
        <w:t>Es erübrigt sich deshalb, auf die weiteren Ausführungen in der Be­schwerde sowie in der Beschwerdeergänzung einzugehen. Im Ergebnis ist festzustellen, dass der vom Beschwerdeführer geltend gemachte subjektiven Nachfluchtgrund (seine Ausreise aus der Türkei) offensichtlich nicht geeignet ist , eine flüchtlingsrechtlich relevante Verfolgungsfurcht zu begründen, weshalb der Beschwerdeführer nicht als Flüchtling im Sinne von Art. 3 AsylG anerkannt werden kann.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8.5.1</w:t>
      </w:r>
    </w:p>
    <w:p>
      <w:r>
        <w:t>Vorab ist an dieser Stelle festzustellen, dass es dem Beschwerdeführer nicht gelungen ist, eine asylrelevante Verfolgung in der Türkei glaubhaft zu machen (vgl. die vorstehenden Erwägungen unter 6.1 f.). Somit erübrigt es sich, die Zumutbarkeit des Wegweisungsvollzuges im Hinblick auf die auf Beschwerdeebene geltend gemachte besondere Situation bezüglich des Syrienkonfliktes zu prüfen. Davon abgesehen verfügt das BFM über genügend aktuelle und länderspezifische Kenntnisse, die es ihm gestatten, die aktuelle Lage in der Türkei einzuschätzen. Auch unter Berücksichtigung öffentlich zugänglicher Quellen hat das BFM vorliegend zu Recht festgestellt, dass angesichts der gegenwärtigen Lage in der Türkei nicht von einer Situation allgemeiner Gewalt oder von kriegerischen oder bürgerkriegsähnlichen Verhältnissen gesprochen werden kann, welche für den Beschwerdeführer bei einer Rückkehr eine konkrete Gefährdung darstellen würde. Vor diesem Hintergrund erübrigt es sich, einen Lagebericht über die Türkei einzuholen.</w:t>
      </w:r>
    </w:p>
    <w:p>
      <w:r>
        <w:rPr>
          <w:b/>
        </w:rPr>
        <w:t>E. 8.5.2</w:t>
      </w:r>
    </w:p>
    <w:p>
      <w:r>
        <w:t>Auch aufgrund der persönlichen Situation des Beschwerdeführers sind keine Gründe ersichtlich, die gegen die Zumutbarkeit des Wegweisungsvollzugs sprechen. Der Beschwerdeführer hat die Schule bis zum zweiten Jahr Gymnasium besucht, im elterlichen Landwirtschaftsbetrieb mitgearbeitet (vgl. A7/10 S. 3) und während seines Aufenthalts in F._______ Erfahrungen als Hausbursche in einem Hotel gesammelt (vgl. A10/12 S. 3 F. 16 f.), weshalb anzunehmen ist, er könne sich in seiner Heimat wieder wirtschaftlich integrieren. Abgesehen von seinem rund zweijährigen Aufenthalt in F._______ von Anfang 2008 bis Ende 2009 hat der Beschwerdeführer seit seiner Geburt bis kurz vor seiner Ausreise aus der Türkei immer in B._______ gelebt (vgl. A10/12 S. 2 F. 6). Vor seiner Ausreise lebte er ungefähr eineinhalb Monate in D._______ (vgl. A7/10 S. 4), wo er bei Freunden und bei einem Cousin Unterschlupf fand (vgl. A7/10 S. 7). Seine Eltern und sein Bruder leben noch immer in B._______ (vgl. A7/10 S. 4). Von seinen sechs Schwestern leben vier in D._______, eine in J._______ und eine in K._______ (vgl. A7/10 S. 4). Der Beschwerdeführer kann somit in seiner Heimat, insbesondere in B._______ und D._______, auf ein intaktes familiäres Beziehungsnetz zurückgreifen. Der Beschwerdeführer hat zudem bei der Anhörung erklärt, seine Ausreise aus der Türkei sei von seinem Vater und seinem Bruder organisiert (vgl. A10/12 S. 9 F. 84) und vollständig von seinem Vater finanziert worden (vgl. a.a.O. F. 86). Folglich ist davon auszugehen, dass er ihm auch bei seiner Rückkehr allenfalls finanziell unter die Arme greifen wird.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Die Gesuche um Gewährung der unentgeltlichen Rechtspflege gemäss Art. 65 Abs. 1 VwVG sowie um Gewährung der unentgeltlichen Verbeiständung gemäss Art. 65 Abs. 2 VwVG sind abzuweisen, da die Beschwerde aufgrund der vorstehenden Erwägungen als aussichtslos erscheint.</w:t>
      </w:r>
    </w:p>
    <w:p>
      <w:r>
        <w:rPr>
          <w:b/>
        </w:rPr>
        <w:t>E. 10.2</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