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D-4894/2015 vom 18. März 2016</w:t>
      </w:r>
    </w:p>
    <w:p>
      <w:r>
        <w:t>Bundesverwaltungsgericht, 2016-03-18, DE</w:t>
      </w:r>
    </w:p>
    <w:p>
      <w:r>
        <w:rPr>
          <w:b/>
        </w:rPr>
        <w:t xml:space="preserve">Quelle: </w:t>
      </w:r>
      <w:r>
        <w:t>https://mcp.opencaselaw.ch/entscheid/bvger_D-4894_2015</w:t>
      </w:r>
    </w:p>
    <w:p>
      <w:r>
        <w:t>FR: TAF D-4894/2015 du 18 mars 2016</w:t>
      </w:r>
    </w:p>
    <w:p>
      <w:r>
        <w:t>IT: TAF D-4894/2015 del 18 marzo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(Art. 7 Abs. 1 und 2 AsylG). Vorbringen sind dann glaubhaft, wenn sie genügend substantiiert, in sich schlüssig und plau­sibel sind; sie dürfen sich nicht in vagen Schilderungen erschöpfen oder den Tatsachen oder der allgemeinen Erfahrung widersprechen und sie dürfen nicht widersprüchlich sein oder der inneren Logik entbehren. Dar­über hinaus muss die asylsuchende Person persönlich glaubwürdig er­scheinen, was insbesondere dann nicht der Fall ist, wenn sie ihre Vorbrin­gen auf gefälschte oder verfälschte Beweismittel abstützt (Art. 7 Abs. 3 AsylG), wichtige Tatsachen unterdrückt oder bewusst falsch dar­stellt, im Laufe des Verfahrens Vorbringen auswechselt oder unbegründet nachschiebt, mangelndes Interesse am Verfahren zeigt oder die nötige Mit­wirkung verweigert. Glaubhaftmachung bedeutet - im Gegensatz zum strikten Beweis - ein reduziertes Beweismass und lässt durchaus Raum für gewisse Einwände und Zweifel an den Vorbringen des Beschwerdefüh­rers.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die Richtigkeit der Sachverhalts­darstellung sprechen, überwiegen oder nicht; dabei ist auf eine objektivierte Sichtweise abzustellen.</w:t>
      </w:r>
    </w:p>
    <w:p>
      <w:r>
        <w:rPr>
          <w:b/>
        </w:rPr>
        <w:t>E. 4.1</w:t>
      </w:r>
    </w:p>
    <w:p>
      <w:r>
        <w:t>Das SEM hat die Glaubhaftigkeit der geltend gemachten eritreischen Staatsbürgerschaft verneint. Diese Einschätzung vermag zu überzeugen. Die Vorinstanz hat das von der Beschwerdeführerin nachgereichte Dokument - eine Erklärung auf Tigrinya - einer eingehenden Prüfung unterzogen und konnte sich dabei auf authentisches Vergleichsmaterial abstützen. In der entsprechenden vorinstanzlichen Akte (vgl. A 26/3) kam das SEM zum Schluss, es handle sich beim eingereichten Beweismittel aufgrund diverser inhaltlicher und formaler Unterschiede um eine Totalfälschung. Dieser Befund wurde vom SEM in der Vernehmlassung aufgenommen und dem Gericht kommuniziert. Im Rahmen des Schriftenwechsels wurde der Beschwerdeführerin Gelegenheit eingeräumt, zu diesem - in der Vernehmlassung eher knapp, aber rechtsgenüglich begründeten - Sachverhalt Stellung zu nehmen. Sie verzichtete indes auf eine Replik, was die Analyse des SEM als umso stichhaltiger erscheinen lässt. Bereits in diesem Lichte besehen ist die eritreische Herkunft respektive Staatsangehörigkeit der Beschwerdeführerin mit ernsthaften Zweifeln behaftet.</w:t>
      </w:r>
    </w:p>
    <w:p>
      <w:r>
        <w:rPr>
          <w:b/>
        </w:rPr>
        <w:t>E. 4.2</w:t>
      </w:r>
    </w:p>
    <w:p>
      <w:r>
        <w:t>Hinzu kommen ihre ungereimten und substanzlosen Äusserungen zu eritreischen Belangen, welche entgegen den Beschwerdevorbringen nicht auf Übersetzungsprobleme zurückgeführt werden können, bestätigte sie doch am Schluss unterschriftlich die Korrektheit des Anhörungsprotokolls. Die Vorinstanz hat in ausführlichen Erwägungen, auf welche an dieser Stelle weitgehend verwiesen werden kann, die Unglaubhaftigkeit ihres vorgebrachten Lebenslaufes festgehalten. In der Tat muss aufgrund verschiedener Protokollstellen, welche kaum Realkennzeichen und Substanz, sondern immer wieder Ungereimtheiten aufweisen, auf ein Konstrukt der vorgebrachten Fluchtgründe geschlossen werden (vgl. A 11/22 Antworten 107 ff.). Ihre weitere Angabe, es gebe keinen Unterschied zwischen Eritreern und Jemeniten, verstärkt die Zweifel an der angeblichen Herkunft zusätzlich. Hinzu kommen ihre stereotypen Aussagen zu Reisedokumenten, welche keine Kooperation zur Belegung der angeblichen Identität aufzeigen (vgl. A 4/10 S. 5 ff.; A 11/22 Antworten 48 und 57). Schliesslich wirken auch ihre Vorbringen im Zusammenhang mit dem Aufenthalt ihrer Eltern nicht kongruent. So gab sie unter anderem an, sie wisse nicht, ob diese noch am Leben seien. Zu einem späteren Zeitpunkt der Anhörung versicherte sie indes, dass sie sich nach wie vor im Jemen aufhalten würden (vgl. A 11/22 Antworten 114 und 196). Der Eindruck, sie versuche so, die wahren Aufenthaltsorte ihrer Eltern zu verschleiern, bestätigt die Unglaubhaftigkeit der angeblichen eritreischen Herkunft verbunden mit begründeter Furcht im Falle der Rückkehr wegen der damaligen Aktivitäten ihres Vaters. In der Beschwerde fehlen stichhaltige Argumente für eine andere Sichtweise. Anzufügen bleibt, dass auch die vorinstanzliche Würdigung des von der Beschwerdeführerin eingereichten fremdsprachigen Dokuments mit Kopien einer Identitätskarte zu überzeugen vermag.</w:t>
      </w:r>
    </w:p>
    <w:p>
      <w:r>
        <w:rPr>
          <w:b/>
        </w:rPr>
        <w:t>E. 4.3</w:t>
      </w:r>
    </w:p>
    <w:p>
      <w:r>
        <w:t>Aufgrund der Akten erscheint zwar nicht gänzlich ausgeschlossen, dass die Beschwerdeführerin sich während einiger Zeit im Jemen und/oder Libyen aufhielt. Auch diesbezüglich sind ihre Aussagen jedoch als äusserst vage, oberflächlich und ausweichend zu bezeichnen. Sie vermochte weder ihre Aufenthaltsorte oder den Lebensalltag nachvollziehbar zu schildern, noch wurden glaubhafte Aussagen zu den Reiseumständen oder ihrem jeweiligen Aufenthaltsstatus gemacht (vgl. A 11/22 Antwort 96). Auch in diesem Zusammenhang kann insgesamt nur der Schluss gezogen werden, die Beschwerdeführerin versuche, ihren Lebenslauf zu verschleiern.</w:t>
      </w:r>
    </w:p>
    <w:p>
      <w:r>
        <w:rPr>
          <w:b/>
        </w:rPr>
        <w:t>E. 4.4</w:t>
      </w:r>
    </w:p>
    <w:p>
      <w:r>
        <w:t>Nach dem Gesagten vermochte die Beschwerdeführerin die von ihr dargestellten Ereignisse und Lebensumstände nicht glaubhaft zu machen. Vor diesem Hintergrund kann nicht von einer Situation der Verfolgung im Sinne des Asylgesetzes ausgegangen werden, zumal durch die Verheimlichung und Ver­schlei­erung wesentlicher Sachumstände die Prüfung der Flüchtlingseigen­schaft der Beschwerdeführerin in Bezug auf ihr effektives Heimatland verunmöglicht wird (vgl. dazu BVGE 2014/12 E. 5.9). Die Vor­instanz hat die Flüchtlingseigen­schaft damit zu Recht verneint und das Asylgesuch abgelehnt.</w:t>
      </w:r>
    </w:p>
    <w:p>
      <w:r>
        <w:rPr>
          <w:b/>
        </w:rPr>
        <w:t>E. 5</w:t>
      </w:r>
    </w:p>
    <w:p>
      <w:r>
        <w:t>Gemäss Art. 44 AsylG verfügt das Bundesamt in der Regel die Wegweisung aus der Schweiz und ordnet den Vollzug an, wenn es das Asylgesuch ablehnt oder darauf nicht eintritt. 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6.1</w:t>
      </w:r>
    </w:p>
    <w:p>
      <w:r>
        <w:t>Auch die vorinstanzliche Beurteilung der Vollzugshindernisse gemäss Art. 83 AuG (SR. 142.20) ist nicht zu beanstanden, wobei auf die Ausführungen in der Verfügung verwiesen werden kann. Hervorzuheben ist gleichwohl, dass Zulässigkeit, Zumutbarkeit und Möglichkeit eines Wegweisungsvollzugs zwar von Amtes wegen zu prüfen sind, die Untersuchungspflicht jedoch ihre Grenzen an der Mitwirkungspflicht der Beschwerdeführerin findet. Es ist nicht Sache der Behörden, bei fehlenden Hinweisen nach etwaigen Wegweisungsvollzugshindernissen in hypothetischen Herkunftsländern zu forschen. Die Beschwerdeführerin hat die Folgen ihrer fehlenden Mitwirkung insofern zu tragen, als seitens der Asylbehörden der Schluss gezogen werden muss, es spreche nichts gegen eine Rückkehr an den bisherigen Aufenthaltsort. Da sie mit ihrem Verhalten allfälligen genaueren Abklärungen die erforderliche Grundlage entzieht, kann es nicht Sache des Gerichts sein, sich in Mutmassungen und Spekulationen - so namentlich auch zur gesundheitlichen Situation der Schwester der Beschwerdeführerin nach der Rückkehr - zu ergehen. Allfälligen medizinischen Problemen ist - beispielsweise im Rahmen einer Rückkehrhilfe - im relevanten Zeitpunkt Rechnung zu tragen. Es obliegt im Übrigen der Beschwerdeführerin, sich die für ihre Rückkehr allenfalls benötigten Reisedokumente zu beschaffen (Art. 8 Abs. 4 AsylG; vgl. BVGE 2008/34 E. 12).</w:t>
      </w:r>
    </w:p>
    <w:p>
      <w:r>
        <w:rPr>
          <w:b/>
        </w:rPr>
        <w:t>E. 6.2</w:t>
      </w:r>
    </w:p>
    <w:p>
      <w:r>
        <w:t>Nach dem Gesagten ist der vom SEM verfügte Vollzug der Wegweisung zu bestätigen.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w:t>
      </w:r>
    </w:p>
    <w:p>
      <w:r>
        <w:t>Bei diesem Ausgang des Verfahrens wären die Kosten der Beschwerde­füh­rerin aufzuerlegen (Art. 63 Abs. 1 VwVG). Da aber das Gesuch um Gewäh­rung der unentgeltlichen Prozessführung im Sinne von Art. 65 Abs. 1 VwVG mit Zwischenverfügung vom 17. August 2015 gutgeheissen wurde und sich ihre finanzielle Situation seither nicht entscheidrelevant veränderte, er­folgt keine Kostenauflage.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