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D-4891/2011 vom 25. November 2011</w:t>
      </w:r>
    </w:p>
    <w:p>
      <w:r>
        <w:t>Bundesverwaltungsgericht, 2011-11-25, FR</w:t>
      </w:r>
    </w:p>
    <w:p>
      <w:r>
        <w:rPr>
          <w:b/>
        </w:rPr>
        <w:t xml:space="preserve">Quelle: </w:t>
      </w:r>
      <w:r>
        <w:t>https://mcp.opencaselaw.ch/entscheid/bvger_D-4891_2011</w:t>
      </w:r>
    </w:p>
    <w:p>
      <w:r>
        <w:t>FR: TAF D-4891/2011 du 25 novembre 2011</w:t>
      </w:r>
    </w:p>
    <w:p>
      <w:r>
        <w:t>IT: TAF D-4891/2011 del 25 novembre 2011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1.2</w:t>
      </w:r>
    </w:p>
    <w:p>
      <w:r>
        <w:t>Les recourants ont qualité pour recourir (cf. art. 48 al. 1 PA). Présenté dans la forme (cf. art. 52 PA) et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3.1</w:t>
      </w:r>
    </w:p>
    <w:p>
      <w:r>
        <w:t>En l'espèce, les intéressés ont fondé leur demande de réexamen du 26 juillet 2001 sur l'aggravation de l'état de santé de D._______. L'ODM a cependant considéré qu'il aurait pu et dû en être fait état lors de la procédure de réexamen précédente déjà. Il a en effet relevé, sur la base des pièces au dossier, que l'enfant était "addict à internet depuis octobre 2010" et que ses problèmes psychiques s'étaient accentués en raison de la perspective d'un retour en Bosnie et Herzégovine. Il a constaté que D._______ avait été pris en charge par le [service médical], le 1er avril 2011, soit avant la date du dernier arrêt du Tribunal, rendu le 5 mai 2011. Il a souligné enfin que le rapport médical produit, daté du 28 juin 2011, ne faisait pas état d'une détérioration de l'état de santé de l'enfant postérieurement à cet arrêt. Il a en conséquence retenu que la détérioration était antérieure à celui-ci, qu'elle était donc invoquée tardivement et qu'elle n'avait ainsi pas à être examinée sous l'angle de l'exigibilité de l'exécution du renvoi, comme demandé. Les intéressés contestent ce point de vue dans leur recours. Ils soutiennent principalement qu'il était impossible pour les médecins de poser un diagnostic sur la maladie de D._______ avant le 5 mai 2011 et que, partant, ils ont été empêchés de la faire valoir dans le cadre de la procédure de réexamen initiée le 21 janvier 2011. Il y a lieu de distinguer, en l'occurrence, d'une part, la période durant laquelle sont apparus et se sont développés les troubles du comportement chez D._______ et, d'autre part, le moment à partir duquel ces troubles ont atteint une gravité telle qu'ils pouvaient ouvrir la voie du réexamen. Pour déterminer si la demande de reconsidération a été déposé en temps utile, sera décisive, en définitive, la date à laquelle les intéressés ont été en mesure d'invoquer valablement la détérioration de l'état de santé, cette date devant impérativement être postérieure à l'arrêt du Tribunal du 5 mai 2011 pour procéder à un examen de la cause sous l'angle de l'exigibilité de l'exécution du renvoi. Le dossier révèle que l'apparition des troubles dont souffre D._______ remonte à l'automne 2010. Dans un certificat du 4 mars 2011 concernant B._______, produit au cours de la première procédure de réexamen, il était fait état que l'enfant souffrait d'une dépendance aux jeux électroniques entraînant divers troubles du comportement, lesquels avaient motivé une demande de prise en charge par le [service médical]. La situation n'apparaissait alors critique, aux yeux des médecins et des intéressés, que dans la mesure où elle avait une influence négative sur l'état de santé de B._______. Dans son rapport du 28 juin 2011, le [service médical] mentionne que la prise en charge de D._______ a commencé le 1er avril 2011. La lecture de la rubrique 1.4 de ce rapport, traitant de l'évolution de la maladie, révèle que plusieurs séances ou consultations ont ensuite dû avoir lieu. La rubrique 3, relative aux traitements, mentionne que plusieurs traitements médicamenteux ont été mis en place, que D._______ n'a pas supportés. Un laps de temps relativement important s'est donc manifestement écoulé entre le début de la prise en charge et l'instant où les médecins, après quelques investigations et tentatives thérapeutiques, ont été à même de poser un diagnostic et d'établir un rapport contenant les renseignements essentiels sur la pathologie de l'enfant. La date du 28 juin 2011, correspondant à celle de la rédaction du rapport du [service médical], peut dans ces conditions être raisonnablement retenue comme étant celle à partir de laquelle les recourants ont pu déposer leur demande de réexamen. En tant qu'elle est fondée sur l'aggravation de l'état de santé de D._______, la demande de réexamen du 26 juillet 2011 n'a ainsi pas été déposée tardivement, comme l'a estimé à tort l'autorité de première instance.</w:t>
      </w:r>
    </w:p>
    <w:p>
      <w:r>
        <w:rPr>
          <w:b/>
        </w:rPr>
        <w:t>E. 3.2</w:t>
      </w:r>
    </w:p>
    <w:p>
      <w:r>
        <w:t>L'appréciation erronée de l'ODM sur ce point est toutefois sans conséquence. Celui-ci ne s'est en effet pas limité à un examen de la cause sous l'angle de la licéité de l'exécution du renvoi, même s'il a affirmé que telle était son intention. L'étendue de sa motivation, au terme de laquelle il est parvenu à la conclusion que l'exécution du renvoi était non seulement licite, mais également raisonnablement exigible, et le dispositif de sa décision, ne sanctionnant d'aucune manière la demande de réexamen d'irrecevabilité (en tant qu'elle concluait à l'inexigibilité de l'exécution du renvoi) démontrent que l'ODM a procédé à l'examen requis par la partie. Dans son recours, celle-ci a en outre pu prendre position sur l'ensemble des arguments de l'ODM, de sorte que son droit d'être entendu n'a pas été violé. Il y a ainsi lieu de procéder à un examen de la cause sur le fond et de déterminer si l'exécution du renvoi de D._______ n'est plus raisonnablement exigible, à l'exclusion d'un examen relatif à la licéité, question que n'ont pas remis en cause les intéressés dans leur demande du 26 juillet 2011.</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De façon générale,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5.1</w:t>
      </w:r>
    </w:p>
    <w:p>
      <w:r>
        <w:t>En l'occurrence, seule la question de l'exigibilité du renvoi de D._______ doit être examinée. Il doit bien entendu être tenu compte de l'ensemble des faits de la cause, en particulier la situation de la famille de l'intéressé. Il est toutefois exclu de procéder à une nouvelle appréciation des faits invoqués au cours des procédures précédentes par les parents de celui-ci.</w:t>
      </w:r>
    </w:p>
    <w:p>
      <w:r>
        <w:rPr>
          <w:b/>
        </w:rPr>
        <w:t>E. 5.2</w:t>
      </w:r>
    </w:p>
    <w:p>
      <w:r>
        <w:t>D._______ souffre de troubles divers. Il semble en effet que se soit installée chez lui une addiction aux jeux électroniques et aux possibilités de divertissement qui lui sont offertes sur internet. La perspective d'un renvoi dans son pays d'origine a aggravé la situation. L'enfant est notamment décrit comme étant fuyant, irritable, coléreux, intolérant à la frustration, angoissé et peu conscient de sa situation psychique. Il a refusé l'hospitalisation que préconisaient pourtant ses médecins. Au vu du dernier certificat médical produit, ni ceux-ci ni ses parents ne l'y ont contraint. Malgré un risque de passage à l'acte suicidaire perçu par les soignants et l'échec de thérapies médicamenteuses mises en place, le traitement est demeuré ambulatoire et peu conséquent. Le seul médicament prescrit était, à la date du 28 juin 2011, l'Atarax 25 mg, à prendre au coucher. En l'état, l'exécution du renvoi de D._______ apparaît raisonnablement exigible. Celui-ci est en effet présenté comme étant dans une situation de crise. Le tribunal constate, d'une part, qu'au vu de l'origine des troubles tels que connus et de l'état des investigations entreprises, il ne peut être conclu que les obstacles à l'exécution du renvoi perdureraient au-delà d'une année. D'autre part, l'affection de l'intéressé, malgré le diagnostic préoccupant qui a été posé, n'exige actuellement pas, pour le préserver de risques majeurs pour sa santé, la mise en place d'un traitement d'une lourdeur, d'une spécificité et d'un coût tels qu'il ne pourrait être dispensé en Bosnie et Herzégovine. A la lecture du rapport médical du 28 juin 2011, si tel avait été le cas, des mesures plus drastiques auraient à l'évidence déjà été prises, ce en urgence même. Or D._______ n'a pas été hospitalisé. Ni la psychothérapie préconisée, ni d'autres traitements lourds (médicamenteux en particulier) n'ont été entrepris. Au vu de la situation en Bosnie et Herzégovine, déjà décrite et analysée au cours des procédures précédentes et en l'état des connaissances relatives à l'état de santé de D._______, un retour n'expose ainsi pas celui-ci de manière concrète et certaine à une mise en danger de son intégrité psychique ou physique.</w:t>
      </w:r>
    </w:p>
    <w:p>
      <w:r>
        <w:rPr>
          <w:b/>
        </w:rPr>
        <w:t>E. 6.1</w:t>
      </w:r>
    </w:p>
    <w:p>
      <w:r>
        <w:t>Le recours du 6 septembre 2011 doit ainsi être rejeté et la décision de l'ODM du 4 août 2011 confirmée.</w:t>
      </w:r>
    </w:p>
    <w:p>
      <w:r>
        <w:rPr>
          <w:b/>
        </w:rPr>
        <w:t>E. 6.2</w:t>
      </w:r>
    </w:p>
    <w:p>
      <w:r>
        <w:t>Vu l'issue de la procédure, il y aurait lieu de mettre les frais de procédure à la charge des recourants, conformément aux art. 63 al. 1 PA et 2 et 3 let. b du règlement du 21 février 2008 concernant les frais, dépens et indemnités fixés par le Tribunal administratif fédéral (FITAF, RS 173.320.2). La demande d'assistance judiciaire partielle déposée simultanément au recours doit cependant être admise, les conditions de l'art. 65 al. 1 PA étant réunies. Il n'est en conséquence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