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D-4886/2018 vom 13. September 2018</w:t>
      </w:r>
    </w:p>
    <w:p>
      <w:r>
        <w:t>Bundesverwaltungsgericht, 2018-09-13, FR</w:t>
      </w:r>
    </w:p>
    <w:p>
      <w:r>
        <w:rPr>
          <w:b/>
        </w:rPr>
        <w:t xml:space="preserve">Quelle: </w:t>
      </w:r>
      <w:r>
        <w:t>https://mcp.opencaselaw.ch/entscheid/bvger_D-4886_2018</w:t>
      </w:r>
    </w:p>
    <w:p>
      <w:r>
        <w:t>FR: TAF D-4886/2018 du 13 septembre 2018</w:t>
      </w:r>
    </w:p>
    <w:p>
      <w:r>
        <w:t>IT: TAF D-4886/2018 del 13 settembre 2018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du 23 mai 2016 est rejetée en tant qu'elle constitue une demande de révision.</w:t>
      </w:r>
    </w:p>
    <w:p>
      <w:r>
        <w:rPr>
          <w:b/>
        </w:rPr>
        <w:t>E. 2</w:t>
      </w:r>
    </w:p>
    <w:p>
      <w:r>
        <w:t>Pour le reste, le recours est rejeté dans la mesure où il est recevable.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