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D-4884/2015 vom 27. Februar 2017</w:t>
      </w:r>
    </w:p>
    <w:p>
      <w:r>
        <w:t>Bundesverwaltungsgericht, 2017-02-27, DE</w:t>
      </w:r>
    </w:p>
    <w:p>
      <w:r>
        <w:rPr>
          <w:b/>
        </w:rPr>
        <w:t xml:space="preserve">Quelle: </w:t>
      </w:r>
      <w:r>
        <w:t>https://mcp.opencaselaw.ch/entscheid/bvger_D-4884_2015</w:t>
      </w:r>
    </w:p>
    <w:p>
      <w:r>
        <w:t>FR: TAF D-4884/2015 du 27 février 2017</w:t>
      </w:r>
    </w:p>
    <w:p>
      <w:r>
        <w:t>IT: TAF D-4884/2015 del 27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seiner Beschwerdeschrift sowie der Ergänzung vom 12. Oktober 2015 macht der Beschwerdeführer im Wesentlichen geltend, er sei - unbestrittenermassen verspätet - seiner Mitwirkungspflicht nachgekommen und bringe nunmehr glaubhaft vor, dass er A._______ sei. Dies angesichts der am 30. Juni 2015 beim SEM eingereichten Geburtsurkunde, die echt sei. Die Vorinstanz gehe trotzdem davon aus, sie kenne seine Identität nicht. Es sei indessen nicht nachvollziehbar, wie unter diesen Umständen ein rechtskonformer Entscheid zustande kommen könne. Die Vorinstanz habe nämlich den rechtserheblichen Sachverhalt unrichtig und unvollständig festgestellt, dies umso mehr, als es sich bei seinem Vater wie auch seinem Bruder um aktive LTTE-Kämpfer handle, und auch er selbst bis zu seiner Flucht die LTTE mit verschiedenen Diensten unterstützt habe. Diese Vorbringen habe die Vorinstanz weder sorgfältig geprüft noch den Entscheid umfassend begründet und insoweit den Anspruch des Beschwerdeführers auf Gewährung des rechtlichen Gehörs verletzt.</w:t>
      </w:r>
    </w:p>
    <w:p>
      <w:r>
        <w:rPr>
          <w:b/>
        </w:rPr>
        <w:t>E. 3.2</w:t>
      </w:r>
    </w:p>
    <w:p>
      <w:r>
        <w:t>Nach dem im Verwaltungsverfahren vorherrschenden Untersuchungsgrundsatz (Art. 12 VwVG i.V.m. Art. 6 AsylG)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w:t>
      </w:r>
    </w:p>
    <w:p>
      <w:r>
        <w:rPr>
          <w:b/>
        </w:rPr>
        <w:t>E. 3.3</w:t>
      </w:r>
    </w:p>
    <w:p>
      <w:r>
        <w:t>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w:t>
      </w:r>
    </w:p>
    <w:p>
      <w:r>
        <w:rPr>
          <w:b/>
        </w:rPr>
        <w:t>E. 3.4</w:t>
      </w:r>
    </w:p>
    <w:p>
      <w:r>
        <w:t>Der Beschwerdeführer liess in seiner Eingabe vom 30. Juni 2015 im Hinblick auf die neue Sachlage (neue Identität, neue Asylvorbringen und Beweismittel) die Einräumung einer Äusserungsmöglichkeit beantragen. Die Vorinstanz hat sich indessen in der angefochtenen Verfügung nicht mehr dazu geäussert. Das Vorgehen der Vorinstanz, einzig die ursprünglichen Asylvorbringen als unglaubhaft zu bezeichnen und die neue Identität zu bezweifeln, ohne dem Beschwerdeführer die Möglichkeit einzuräumen, nochmals neue Asylvorbringen mündlich oder schriftlich vorzutragen und allenfalls Beweismittel dazu einzureichen, ist jedoch unvereinbar mit dem Untersuchungsgrundsatz. Der Einwand, der rechtserhebliche Sachverhalt sei unvollständig festgestellt worden, ist somit begründet.</w:t>
      </w:r>
    </w:p>
    <w:p>
      <w:r>
        <w:rPr>
          <w:b/>
        </w:rPr>
        <w:t>E. 3.5</w:t>
      </w:r>
    </w:p>
    <w:p>
      <w:r>
        <w:t>Nach dem Gesagten steht fest, dass die Vorinstanz im vorliegenden Fall den Untersuchungsgrundsatz und auch das rechtliche Gehör verletzt hat, zumal sie davon abgesehen hat, den Beschwerdeführer zu seinen neuen Asylvorbringen anzuhören.</w:t>
      </w:r>
    </w:p>
    <w:p>
      <w:r>
        <w:rPr>
          <w:b/>
        </w:rPr>
        <w:t>E. 4</w:t>
      </w:r>
    </w:p>
    <w:p>
      <w:r>
        <w:t>Die Beschwerde ist somit gutzuheissen und die angefochtene Verfügung aufzuheben sowie die Sache in Anwendung von Art. 61 Abs. 1 in fine VwVG im Sinne der Erwägungen an das SEM zurückzuweisen.</w:t>
      </w:r>
    </w:p>
    <w:p>
      <w:r>
        <w:rPr>
          <w:b/>
        </w:rPr>
        <w:t>E. 5.1</w:t>
      </w:r>
    </w:p>
    <w:p>
      <w:r>
        <w:t>Dem obsiegenden und vertretenen Beschwerdeführer ist zulasten der Vorinstanz eine Parteientschädigung für die ihm erwachsenen notwendigen und verhältnismässig hohen Kosten zuzusprechen (vgl. Art. 64 Abs. 1 VwVG i.V.m. Art. 37 VGG sowie Art. 7 VGKE). Es wurde keine Kostennote eingereicht, weshalb die Parteientschädigung aufgrund der Akten zu bestimmen ist (Art. 14 Abs. 2 in fine VGKE). Gestützt auf die in Betracht zu ziehenden Bemessungsfaktoren (Art. 9-13 VGKE) ist die vom SEM zu vergütende Parteientschädigung auf insgesamt Fr. 800.- (inkl. Auslagen und Nebenkosten)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