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D-4884/2011 vom 4. Mai 2012</w:t>
      </w:r>
    </w:p>
    <w:p>
      <w:r>
        <w:t>Bundesverwaltungsgericht, 2012-05-04, DE</w:t>
      </w:r>
    </w:p>
    <w:p>
      <w:r>
        <w:rPr>
          <w:b/>
        </w:rPr>
        <w:t xml:space="preserve">Quelle: </w:t>
      </w:r>
      <w:r>
        <w:t>https://mcp.opencaselaw.ch/entscheid/bvger_D-4884_2011</w:t>
      </w:r>
    </w:p>
    <w:p>
      <w:r>
        <w:t>FR: TAF D-4884/2011 du 4 mai 2012</w:t>
      </w:r>
    </w:p>
    <w:p>
      <w:r>
        <w:t>IT: TAF D-4884/2011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ist im vorliegenden Verfahren nicht gegeben, so dass das Bundesverwaltungsgericht in der Sache endgültig entscheidet.</w:t>
      </w:r>
    </w:p>
    <w:p>
      <w:r>
        <w:rPr>
          <w:b/>
        </w:rPr>
        <w:t>E. 1.2</w:t>
      </w:r>
    </w:p>
    <w:p>
      <w:r>
        <w:t>Das Verfahren richtet sich nach dem VwVG, dem VGG und dem BGG, soweit das AsylG nichts anderes bestimmt (Art. 37 VGG und Art. 6 AsylG).</w:t>
      </w:r>
    </w:p>
    <w:p>
      <w:r>
        <w:rPr>
          <w:b/>
        </w:rPr>
        <w:t>E. 1.3</w:t>
      </w:r>
    </w:p>
    <w:p>
      <w:r>
        <w:t>Aus den Verfahrensakten ergeben sich keine Anhaltspunkte, welche zu Zweifeln an der Urteilsfähigkeit des nach eigenen Angaben am (...) geborenen und somit zum Zeitpunkt der Beschwerdeeinreichung minderjährigen Beschwerdeführers Anlass geben würden, weshalb er, ungeachtet seiner geltend gemachten Minderjährigkeit, als prozessfähig zu erachten ist.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S. 826 f., Ent­scheidungen und Mitteilungen der Schweizerischen Asylrekurskommission [EMARK] 2005 Nr. 21 E. 6.1 S. 190 f.).</w:t>
      </w:r>
    </w:p>
    <w:p>
      <w:r>
        <w:rPr>
          <w:b/>
        </w:rPr>
        <w:t>E. 4.1</w:t>
      </w:r>
    </w:p>
    <w:p>
      <w:r>
        <w:t>Vorab ist festzuhalten, dass der Beschwerdeführer den Wortlaut sämtlicher Protokolle mit seiner Unterschrift bestätigt hat und sich deshalb seine Aussagen entgegenhalten lassen muss, zumal er die übersetzenden Personen bei der Kurzbefragung beziehungsweise Anhörung gut respektive sehr gut verstanden haben will (Akten BFM A 6/9 S. 7, A 17/12 S. 1). Die Behauptung in der Rechtsmittelschrift, wonach der Beschwerdeführer anlässlich der Anhörung die Rückübersetzung nicht habe verstehen und deshalb nicht auf Fehler im Protokoll habe aufmerksam machen können, da er sich nicht getraut habe, darauf hinzuweisen, dass er den Dolmetscher nicht richtig verstanden habe, und die Befragerin nicht darauf eingegangen sei, als er am Ende der Anhörung endlich etwas habe dazu sagen wollen, findet im Anhörungsprotokoll keine Stütze. Es sind keinerlei Hinweise vorhanden, welche auf Verständigungsprobleme zwischen dem Beschwerdeführer sowie der übersetzenden Person hindeuten würden. Zudem ist darauf hinzuweisen, dass die bei der Anhörung anwesende Hilfswerkvertretung in ihrem dem Protokoll angefügten Unterschriftenblatt keinerlei Einwände vorgebracht hat, was sie zweifellos getan hätte, wenn es während der Anhörung merklich zu Verständigungsproblemen zwischen dem Beschwerdeführer und dem Dolmetscher oder zu Übersetzungsproblemen gekommen wäre. Die Behauptung in der Beschwerde bezüglich fehlerhafter Einträge im Anhörungsprotokoll findet in den Akten somit keine Stütze.</w:t>
      </w:r>
    </w:p>
    <w:p>
      <w:r>
        <w:rPr>
          <w:b/>
        </w:rPr>
        <w:t>E. 4.2</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EVZ in wesentlichen Punkten der Asylbegründung von den späteren Aussagen in der Befragung beim Kanton oder beim BFM diametral abweichen, oder wenn bestimmte Ereignisse oder Befürchtungen, welche später als zentrale Asylgründe genannt werden, nicht bereits in der Befragung im EVZ zumindest ansatzweise erwähnt werden.</w:t>
      </w:r>
    </w:p>
    <w:p>
      <w:r>
        <w:rPr>
          <w:b/>
        </w:rPr>
        <w:t>E. 4.3</w:t>
      </w:r>
    </w:p>
    <w:p>
      <w:r>
        <w:t>Das BFM hat in der angefochtenen Verfügung die Asylvorbringen des Beschwerdeführers zu Recht als unsubstanziiert sowie widersprüchlich und daher als unglaubhaft bezeichnet. Die in der Beschwerde vorgebrachte Kritik an der Glaubhaftigkeitsprüfung des BFM ist angesichts der Aktenlage nicht nachvollziehbar. Die vagen Aussagen des Beschwerdeführers enthalten etliche Ungereimtheiten, ohne dass sich in den Akten irgendwelche Hinweise auf eine in der Rechtsmittelschrift behauptete Traumatisierung des Beschwerdeführers und auf allenfalls darauf zurückzuführende Gedächtnislücken finden liessen. Gegen eine Traumatisierung des Beschwerdeführers spricht auch der Umstand, dass er es trotz Zumutbarkeit - befindet er sich doch schon seit dem 13. Januar 2011 in der Schweiz - und der ihm obliegenden Mitwirkungspflicht (Art. 8 AsylG) bis heute unterlassen hat, diese vorgebrachten gesundheitlichen Beschwerden mit einem ärztlichen Zeugnis zu belegen. Bezüglich der Rüge in der Rechtsmittelschrift, wonach die Befragerin in der Anhörung praktisch durchwegs geschlossene Fragen gestellt habe, ist festzuhalten, dass dieser Einwand unzutreffend ist, da aus dem Anhörungsprotokoll ersichtlich ist, dass anlässlich der Anhörung des Beschwerdeführers immer wieder offene Fragen gestellt wurden, die ihm Gelegenheit gaben, in freier Erzählform seine Gründe darzulegen, um danach mit einer Vielzahl von genaueren Fragen die Asylvorbringen zu vertiefen (vgl. A 17/12 S. 3 ff.). Der Umstand, dass der Beschwerdeführer anlässlich der Anhörung keine vertiefte, mit Realkennzeichen versehene Sachverhaltsschilderungen geltend machte, kann vorliegend der Vorinstanz nicht als Unterlassung respektive als mangelnde Sachverhaltsabklärung angelastet werden, sondern muss sich der Beschwerdeführer selber zu seinen Ungunsten anrechnen lassen. Die Vorinstanz ist nicht verpflichtet, Sachverhaltselemente weiter zu vertiefen, wenn ein Asylgesuchsteller im Rahmen der durchgeführten Anhörung - wie vorliegend - auch auf Nachfragen lediglich substanzlose oder stereotype Sachverhaltselemente liefert. Die Ausführungen des Beschwerdeführers anlässlich der Befragungen erweisen sich in der Tat als derart vage, dass auch bei einer sehr wohlwollenden Betrachtungsweise nicht auf die Glaubhaftigkeit seiner Vorbringen geschlossen werden kann. So sind beispielsweise seine Schilderungen bezüglich der behaupteten Besuche von Soldaten der sri-lankischen Armee anlässlich der Anhörung wenig detailliert und unsubstanziiert ausgefallen (A 17/12 S. 3 ff.). Den diesbezüglichen Vorbringen des Beschwerdeführers fehlen die notwendigen Realkennzeichen einer Erzählung. Namentlich ist den Äusserungen nicht der erforderliche Detailreichtum einer auf tatsächlich erlebten Ereignissen basierenden Schilderung zu entnehmen. Insbesondere war der Beschwerdeführer nicht in der Lage auch nur ungefähr anzugeben, wann die Soldaten jeweils zu ihm nach Hause gekommen seien (A 17/12 S. 3 f.), was nicht nachvollziehbar ist, handelt es sich dabei doch um sehr einprägsame Erlebnisse. Die Aussagen des Beschwerdeführers bezüglich seines Vaters blieben ebenfalls nur oberflächlich und schemenhaft (A 17/12 S. 6 ff.), was nicht plausibel ist, da sein Vater der Grund für die Besuche der sri-lankischen Soldaten gewesen sein soll. So konnte der Beschwerdeführer beispielsweise nur unsubstanziiert darlegen, was sein Vater in den Briefen, die er seiner Familie habe zu-kommen lassen, geschrieben habe (A 17/12 S. 6). Es ist davon auszugehen, dass der Beschwerdeführer mehr über seinen Vater hätte erzählen können, hätten sich die Dinge tatsächlich wie behauptet zugetragen. Übereinstimmend mit der Vorinstanz ist überdies festzustellen, dass auch die Schilderungen des Beschwerdeführers im Zusammenhang mit seiner Ausreise aus Sri Lanka substanzlos ausgefallen sind. Insbesondere konnte er keine Angaben darüber machen, bei wem er in F._______ gelebt habe, wie seine Mutter die Ausreise organisiert und wie sie die Reisekosten bezahlt habe (A 17/12 S. 6 ff.). Mit dem Hinweis in der Rechtsmittelschrift auf das jugendliche Alter des Beschwerdeführers kann die fehlende Substanziierung wesentlicher Sachverhaltselemente nicht überzeugend erklärt werden, da auch ein Jugendlicher im Stande ist, tatsächlich Erlebtes substanziiert zu schildern. Bezüglich der Behauptung in der Beschwerde, wonach die Persönlichkeit des Beschwerdeführers noch sehr wenig entwickelt sei, finden sich in den Akten keine Hinweise. Der Umstand, dass der Beschwerdeführer in der Rechtsmittelschrift substanziiertere Ausführungen bezüglich der behaupteten Besuche von Soldaten der sri-lankischen Armee sowie seines Vaters machte, vermag an obiger Einschätzung nichts zu ändern, zumal für die Beurteilung der Substanziiertheit der Asylvorbringen die Aussagen anlässlich der Befragungen massgeblich sind. Im Weiteren ist darauf hinzuweisen, dass die Asylvorbringen des Beschwerdeführers in wesentlichen Punkten widersprüchlich sind, weshalb auch aus diesem Grund Zweifel an deren Glaubhaftigkeit bestehen. So machte der Beschwerdeführer anlässlich der Kurzbefragung geltend, nachdem sri-lankische Soldaten mehrmals zu Hause nach seinem Vater gefragt hätten, habe er sich während zirka einer Woche bei seiner Grossmutter und seiner Tante versteckt gehalten (A 6/9 S. 5), während er diesbezüglich bei der Anhörung zu Protokoll gab, er habe sich zirka eineinhalb Monate dort aufgehalten (A 17/12 S. 5). Zudem brachte der Beschwerdeführer anlässlich der Kurzbefragung vor, seine Tante habe ihn nach F._______ begleitet und seine Ausreise organisiert (A 6/9 S. 5), wohingegen er bei der Anhörung aussagte, seine Mutter sei mit ihm nach F._______ gereist und habe seine Reise in die Schweiz arrangiert (A 17/12 S. 5 f.). Auf Vorhalt war er nicht in der Lage, die Widersprüche plausibel aufzulösen (A 17/12 S. 8 f.). Überdies führte er anlässlich der Anhörung zuerst aus, er wisse nicht, ob sein Vater jetzt noch Kontakt zur Mutter habe (A 17/12 S. 7), während er kurz darauf geltend mache, der Vater habe keinen Kontakt mehr zu seiner Familie (A 17/12 S. 8). Gegen die Glaubhaftigkeit der Verfolgungsvorbringen des Beschwerdeführers spricht auch seine Aussage, wonach die Soldaten sechs, sieben - vielleicht auch mehr - Mal zu ihm nach Hause gekommen seien und nach seinem Vater gefragt hätten, ohne dass sie jemals weitergehende Massnahmen (Befragung auf dem Posten, Verhaftung) gegen seine Familie ergriffen hätten (A 17/12 S. 3 ff.). An der Unglaubhaftigkeit der vom Beschwerdeführer geltend gemachten Verfolgung in seinem Heimatland ändern auch die von ihm mit Eingabe vom 10. Oktober 2011 als Beweismittel eingereichten Bestätigungsschreiben nichts, zumal es sich dabei lediglich um Faxkopien handelt und es überdies gerichtsnotorisch ist, dass Asylbewerber unter Inanspruchnahme unlauterer Machenschaften behördliche und andere Dokumente zur Stützung ihrer Asylvorträge beibringen. Überdies entstehen weitere Ungereimtheiten in zeitlicher Hinsicht, datieren doch die Beweismittel alle aus dem Jahr 2006, während der Beschwerdeführer seine Fluchtgründe auf das Jahr 2009 und das Verschwinden des Vaters auf das Jahr 2008 bezieht. Abgesehen davon weisen mehrere Beweismittel ein auffällig ähnliches Schriftbild auf, obwohl sie von sehr unterschiedlichen Organisationen stammen sollen.</w:t>
      </w:r>
    </w:p>
    <w:p>
      <w:r>
        <w:rPr>
          <w:b/>
        </w:rPr>
        <w:t>E. 4.4</w:t>
      </w:r>
    </w:p>
    <w:p>
      <w:r>
        <w:t>Soweit der Beschwerdeführer in der Rechtsmittelschrift beantragt, er sei durch eine auf die Anhörung von Minderjährigen spezialisierte Fachperson der Vorinstanz ergänzend anzuhören, falls das Bundesverwaltungsgericht Zweifel an der Glaubhaftigkeit seiner Verfolgungsvorbringen habe,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Vorliegend können die Asylvorbringen des Beschwerdeführers bereits aufgrund der bestehenden Akten als unglaubhaft beurteilt werden, weshalb der diesbezüglich in der Beschwerde gestellte Beweisantrag abzuweisen ist.</w:t>
      </w:r>
    </w:p>
    <w:p>
      <w:r>
        <w:rPr>
          <w:b/>
        </w:rPr>
        <w:t>E. 4.5</w:t>
      </w:r>
    </w:p>
    <w:p>
      <w:r>
        <w:t>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Sri Lanka befürchten müsste. Der Beschwerdeführer erfüllt somit die Voraussetzungen zur Zuerkennung der Flüchtlingseigenschaft nicht, weshalb die Vorinstanz das Asylbegehren zu Recht abgelehnt hat. Es erübrigt sich deshalb, auf die weiteren Vorbringen in der Rechtsmitteleingabe und auf weitere Unglaubhaftigkeitselemente in den Aussagen des Beschwerdeführers einzugehen, da sie an obiger Erkenntnis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[Hrsg.], Ausländerrecht, 2. Aufl., Basel/Bern/Lausanne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Der Beschwerdeführer unterliegt als minderjährige Person den Normen des Übereinkommens vom 20. November 1989 über die Rechte des Kindes (KRK, SR 0.107). Art. 22 Abs. 2 KRK zielt darauf ab, durch Mitwirkung der Vertragsstaaten bei der Informationsbeschaffung die Familienzusammenführung zu fördern. Diese Bestimmung beschlägt indessen nur minderjährige Asylsuchende und Flüchtlinge, nicht aber ausländische Kinder, deren Asylgesuch - wie vorliegend - abgewiesen wird. Somit besteht keine völkerrechtliche Verpflichtung, im Vorfeld des Vollzugs der Wegweisung einer im Asylverfahren abgewiesenen minderjährigen Person Abklärungen über den Aufenthaltsort seiner Angehörigen vorzunehmen (EMARK 1998 Nr. 13 E. 5d.aa S. 95 f.). Das Kindeswohl gemäss Art. 3 KRK muss jedoch im Rahmen der Zumutbarkeitsprüfung von Art. 83 Abs. 4 AuG als gewichtiger Aspekt mitberücksichtigt werden (a.a.O., E. 5e.aa S. 98 f.).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6.3.3.1</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weiterhin gültiger Praxis (BVGE 2009/51 E. 5.6, BVGE 2009/28 E. 9.3.2) im Falle von unbegleiteten Minderjährigen das Kindeswohl im Rahmen der Prüfung der Zumutbarkeit des Wegweisungsvollzugs mit zu berücksichtigen ist, woraus sich gleichzeitig die Verpflichtung ergibt, von Amtes wegen die spezifisch mit der Minderjährigkeit verbundenen Aspekte des Wegweisungsvollzuges abzuklären.</w:t>
      </w:r>
    </w:p>
    <w:p>
      <w:r>
        <w:rPr>
          <w:b/>
        </w:rPr>
        <w:t>E. 6.3.3.2</w:t>
      </w:r>
    </w:p>
    <w:p>
      <w:r>
        <w:t>Für die Asylbehörden ergibt sich daraus die Verpflichtung,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dass es im betreffenden Land Einrichtungen gibt, die sich um alleinstehende Kinder oder Jugendliche kümmern. Es ist vielmehr konkret abzuklären, ob die betreffende minderjährige Person tatsächlich in ihr familiäres Umfeld zurückgeführt werden beziehungsweise ob sie - sollte das nicht möglich sein oder nicht dem Kindeswohl entsprechen - anderweitig untergebracht werden kann (vgl. Urteil des Bundesverwaltungsgerichts D-3467/2011 vom 11. Juli 2011; EMARK 2006 Nr. 24, EMARK 1998 Nr. 13). Das BFM hat daher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(EMARK 1998 Nr. 13 E. 5e.bb S. 100).</w:t>
      </w:r>
    </w:p>
    <w:p>
      <w:r>
        <w:rPr>
          <w:b/>
        </w:rPr>
        <w:t>E. 6.3.3.3</w:t>
      </w:r>
    </w:p>
    <w:p>
      <w:r>
        <w:t>Gemäss den Akten stammt der Beschwerdeführer aus D._______ (Distrikt E._______), wo er bis zu seiner Ausreise auch wohnte. Dort leben nach wie vor seine Mutter, seine beiden Schwestern sowie weitere nahe Verwandte. Zudem verfügt der Beschwerdeführer über andere nahe Verwandte in I._______ (Distrikt E._______). In Erwägung zu ziehen ist ausserdem, dass der Beschwerdeführer laut eigenen Aussagen neun Jahre die Schule besucht hat und seine Mutter ein eigenes Haus sowie Land besitzt. Soweit von ihm in der Rechtsmittelschrift geltend gemacht wird, er sei durch die Erlebnisse in Sri Lanka traumatisiert und er leide unter psychischen Problemen, ist festzuhalten, dass diesbezüglich bis heute kein Arztbericht eingereicht wurde, weshalb diese gesundheitlichen Probleme nicht belegt sind. Daher ist davon auszugehen, dass der Beschwerdeführer unter keinen nennenswerten gesundheitlichen Problemen leidet, weshalb seiner Rückkehr nach Sri Lanka auch keine medizinischen Gründe entgegenstehen. Abgesehen davon ist die medizinische Grundversorgung in Sri Lanka gewährleistet. Nach dem Gesagten erweist sich, dass der Beschwerdeführer die vom Bundesverwaltungsgericht in der Lagebeurteilung vom 27. Oktober 2011 bezüglich der Zumutbarkeit des Wegweisungsvollzugs nach Sri Lanka formulierten Kriterien erfüllt. Er wird nach seiner Rückkehr in sein Heimatland sowohl auf die Unterstützung seiner in D._______ beziehungsweise I._______ lebenden Angehörigen zählen können und bei diesen eine Unterkunftsmöglichkeit vorfinden, als auch in Zukunft in der Lage sein, sich dank seiner Schulbildung sowie seines jungen Alters wirtschaftlich zu integrieren. Das Vorbringen in der Beschwerde, wonach die Mutter des Beschwerdeführers heute ihr Land nicht mehr verpachten könne, da die Familienmitglieder des Beschwerdeführers als LTTE-Anhänger gelten würden, ist eine unbelegte Behauptung. Auch das weitere Vorbringen in der Rechtsmittelschrift, wonach der Beschwerdeführer körperlich zu schwach sei, um das Land seiner Mutter zu bestellen, ist nicht geeignet, zu einer anderen Beurteilung bezüglich des Wegweisungsvollzuges zu führen. Blosse soziale und wirtschaftliche Schwierigkeiten, von denen die ansässige Bevölkerung im Allgemeinen betroffen ist, genügen nicht, um eine konkrete Gefährdung im Sinne von Art. 83 Abs. 4 AuG darzustellen (vgl. BVGE 2008/4 E. 11.2.2). Der Einwand, die Vorinstanz habe es unterlassen, konkrete Nachforschungen hinsichtlich der Frage, ob der Beschwerdeführer nach einer Wegweisung nach Sri Lanka in eine existenzbedrohende Notlage gerate, vorzunehmen, ist unbegründet, da die vom BFM vorgenommene Prüfung der Zumutbarkeit des Wegweisungsvollzuges als ausreichend zu qualifizieren ist. Da das BFM im Zeitpunkt der Ausreise die entsprechenden Massnahmen treffen wird, damit der Beschwerdeführer begleitet nach Sri Lanka zurückreisen und dort von seiner Familie in Empfang genommen werden kann, ist davon auszugehen, er werde im Heimatstaat nicht in eine existenzielle Notlage geraten. Die mit dem Vollzug beauftragte Behörde wird allenfalls auftretenden Schwierigkeiten bei der Regelung der Rückreisemodalitäten (Begleitung der minderjährigen Person, Ort und Zeit der Übergabe nach der Ankunft im Heimatland usw.) im Rahmen der Durchführung des Wegweisungsvollzugs Rechnung zu tragen haben.</w:t>
      </w:r>
    </w:p>
    <w:p>
      <w:r>
        <w:rPr>
          <w:b/>
        </w:rPr>
        <w:t>E. 6.3.4</w:t>
      </w:r>
    </w:p>
    <w:p>
      <w:r>
        <w:t>Im Rahmen einer Gesamtwürdigung sämtlicher Faktoren ist somit zusammenfassend festzuhalten, dass der Vollzug der Wegweisung des Beschwerdeführers nach Sri Lanka als zumutbar zu erachten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nach Sri Lanka zu bestätigen. Die Vorinstanz hat den Vollzug zur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dem mit seinen Begehren unterlegenen Beschwerdeführer zu überbinden (Art. 63 Abs. 1 VwVG). Dieser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davon auszugehen, dass der Beschwerdeführer bedürftig ist.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