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D-4881/2010 vom 20. Februar 2013</w:t>
      </w:r>
    </w:p>
    <w:p>
      <w:r>
        <w:t>Bundesverwaltungsgericht, 2013-02-20, FR</w:t>
      </w:r>
    </w:p>
    <w:p>
      <w:r>
        <w:rPr>
          <w:b/>
        </w:rPr>
        <w:t xml:space="preserve">Quelle: </w:t>
      </w:r>
      <w:r>
        <w:t>https://mcp.opencaselaw.ch/entscheid/bvger_D-4881_2010</w:t>
      </w:r>
    </w:p>
    <w:p>
      <w:r>
        <w:t>FR: TAF D-4881/2010 du 20 février 2013</w:t>
      </w:r>
    </w:p>
    <w:p>
      <w:r>
        <w:t>IT: TAF D-4881/2010 del 20 febbraio 2013</w:t>
      </w:r>
    </w:p>
    <w:p>
      <w:pPr>
        <w:pStyle w:val="Heading2"/>
      </w:pPr>
      <w:r>
        <w:t>Regeste</w:t>
      </w:r>
    </w:p>
    <w:p>
      <w:r>
        <w:t>Asile (sans renvoi)</w:t>
      </w:r>
    </w:p>
    <w:p>
      <w:pPr>
        <w:pStyle w:val="Heading2"/>
      </w:pPr>
      <w:r>
        <w:t>Erwägungen</w:t>
      </w:r>
    </w:p>
    <w:p>
      <w:r>
        <w:rPr>
          <w:b/>
        </w:rPr>
        <w:t>E. 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recourant a qualité pour recourir. Présenté dans la forme et dans les délais prescrits par la loi, le recours est recevable (art. 48 et 52 PA et 108 al. 1 LAsi).</w:t>
      </w:r>
    </w:p>
    <w:p>
      <w:r>
        <w:rPr>
          <w:b/>
        </w:rPr>
        <w:t>E. 2</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3</w:t>
      </w:r>
    </w:p>
    <w:p>
      <w:r>
        <w:t>En l'espèce, l'intéressé allègue avoir été victime de menaces de mort, proférées par des moudjahidines de C._______, groupe islamiste irakien.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3.2</w:t>
      </w:r>
    </w:p>
    <w:p>
      <w:r>
        <w:t>Les déclarations de l'intéressé diffèrent sur des points essentiels de la procédure sont contradictoires et les moyens de preuve déposés au dossier dépourvus de force probante.</w:t>
      </w:r>
    </w:p>
    <w:p>
      <w:r>
        <w:rPr>
          <w:b/>
        </w:rPr>
        <w:t>E. 3.2.1</w:t>
      </w:r>
    </w:p>
    <w:p>
      <w:r>
        <w:t>L'intéressé a donné des versions divergentes quant à la période des menaces alléguées. Il les a d'abord situées, de manière vague, dans le courant de l'année (...), un mois après l'enrôlement de son frère dans l'armée irakienne, sans autre détail (cf. procès-verbal [pv] aud. sur les motifs du 30 juillet 2008, p.8 Q50), avant de déclarer avec précision, dans la même audition, qu'elles auraient débuté en février (...), laissant ainsi supposer que son frère aurait été engagé par l'armée irakienne en janvier de la même année (cf. pv aud. sur les motifs du 30 juillet 2008, p.9 Q62). Il a également indiqué que des menaces sérieuses avaient été proférées à son encontre suite à la tentative d'assassinat de son frère, survenue durant l'hiver (...) (cf. pv aud. sommaire du 18 juin 2008, p.4) ou six mois après avoir été engagé dans l'armée (cf. pv aud. sur les motifs du 30 juillet 2008, p. 9 Q66 et p.10 Q74), soit en juillet (...). Or, si l'on peut admettre qu'une personne n'est pas en mesure de relater au jour près un événement marquant, en l'espèce une tentative d'assassinat sur son frère, il n'apparaît pas plausible qu'elle le situe sur deux périodes de l'année si opposées, à savoir en hiver, puis en été. De sorte que ces inconsistances entachent définitivement le récit du recourant et permettent de douter de sa crédibilité. A cela s'ajoute, que le récit du recourant sur les dates auxquelles il aurait déposé plainte auprès de la direction générale de la police de K._______ est imprécis. En effet, ce dépôt aurait eu lieu soit le (...), à la suite de démarches entreprises sans succès au poste de police de L._______ ce même jour, soit le (...) (cf. pv aud. sur les motifs du 30 juillet 2008, p. 8 Q 48 et 12 ss Q 91 ss).</w:t>
      </w:r>
    </w:p>
    <w:p>
      <w:r>
        <w:rPr>
          <w:b/>
        </w:rPr>
        <w:t>E. 3.2.2</w:t>
      </w:r>
    </w:p>
    <w:p>
      <w:r>
        <w:t>A._______ a, lors de l'audition précitée du 30 juillet 2008, produit un rapport que son frère aurait obtenu de la direction générale de la police de K._______. A teneur de ce rapport, établi le (...) après la plainte déposée le (...) et traduit par l'interprète présent lors de l'audition (p. 13 Q 102), le prénommé aurait été menacé par le groupe terroriste Al-Qaeda, qui aurait tenté de le tuer et de l'enlever en raison de sa collaboration avec les services de la sécurité intérieure et la garde nationale. Le contenu de ce rapport ne correspond pas au récit du recourant. Non seulement les dates ne concordent pas avec celles qu'il a lui-même indiquées, mais ce document fait mention de menaces proférées par des membres d'Al-Qaeda alors que l'intéressé n'a à aucun moment de la procédure mentionné ce groupe ni prétendu avoir collaboré avec les services de la sécurité intérieure et la garde nationale. Confronté à ces incohérences, l'intéressé a précisé que la police avait "ajouté des choses sur ce document", son frère ayant expliqué avoir une fonction dans la garde nationale et les services de la sécurité intérieure (cf. pv aud. sur les motifs du 30 juillet 2008, notamment p. 19 Q 156). Pareilles explications confinent à la certitude que le document en question est, à tout le moins, complaisant.</w:t>
      </w:r>
    </w:p>
    <w:p>
      <w:r>
        <w:rPr>
          <w:b/>
        </w:rPr>
        <w:t>E. 3.2.3</w:t>
      </w:r>
    </w:p>
    <w:p>
      <w:r>
        <w:t>Un certificat de décès du frère de l'intéressé a également été déposé au dossier. Il est lacunaire et ne correspond pas au récit du recourant. En effet, dans la rubrique nom et prénom de la personne décédée, seul le prénom est inscrit et l'adresse du défunt n'est pas mentionnée. De plus, il y est inscrit que M._______ était ouvrier (cf. traduction du certificat de décès), alors que le recourant a déclaré que son frère était employé comme acheteur et vendeur dans des expositions, avant d'être engagé dans l'armée irakienne, où il manoeuvrait des tanks et des armes BKC. L'accumulation de ces divergences permet de douter de l'authenticité dudit document.</w:t>
      </w:r>
    </w:p>
    <w:p>
      <w:r>
        <w:rPr>
          <w:b/>
        </w:rPr>
        <w:t>E. 3.2.4</w:t>
      </w:r>
    </w:p>
    <w:p>
      <w:r>
        <w:t>Le recourant a enfin produit, avec son courrier du 20 avril 2009, un mandat d'arrêt démontrant selon lui qu'il est recherché par les autorités irakiennes pour avoir mené des activités terroristes. Il n'a fourni aucune explication permettant de comprendre comment un tel document, destiné à la police et non à la personne recherchée, serait arrivé en mains de ses proches. De plus, dit document ne reflète lui non plus pas le récit de l'intéressé, qui a affirmé ne jamais avoir exercé d'activités politiques, ni n'avoir eu de problèmes avec les autorités (cf. pv aud. sommaire du 18 juin 2008, p.4). De sorte que ce document apparaît avoir été créé pour les besoins de la cause.</w:t>
      </w:r>
    </w:p>
    <w:p>
      <w:r>
        <w:rPr>
          <w:b/>
        </w:rPr>
        <w:t>E. 3.3</w:t>
      </w:r>
    </w:p>
    <w:p>
      <w:r>
        <w:t>Pour le surplus, il suffit de se référer à la décision attaquée (point I, p.4), le recours ne contenant pas d'arguments nouveaux susceptibles d'en remettre en cause le bien-fondé.</w:t>
      </w:r>
    </w:p>
    <w:p>
      <w:r>
        <w:rPr>
          <w:b/>
        </w:rPr>
        <w:t>E. 3.4</w:t>
      </w:r>
    </w:p>
    <w:p>
      <w:r>
        <w:t>Dans ces conditions, le récit de l'intéressé ne remplit pas les exigences de vraisemblance posées à l'art. 7 LAsi. Il s'ensuit que le recours, sous l'angle de la reconnaissance de la qualité de réfugié et de l'octroi de l'asile, doit être rejeté et le dispositif de la décision du 3 juin 2010 confirmé sur ces points.</w:t>
      </w:r>
    </w:p>
    <w:p>
      <w:r>
        <w:rPr>
          <w:b/>
        </w:rPr>
        <w:t>E. 4</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In casu, il n'est pas nécessaire de se pencher sur les questions relatives à l'exécution du renvoi, au sens de la disposition précitée. En effet, l'ODM, dans sa décision du 3 juin 2010, a ordonné l'admission provisoire du recourant en Suisse.</w:t>
      </w:r>
    </w:p>
    <w:p>
      <w:r>
        <w:rPr>
          <w:b/>
        </w:rPr>
        <w:t>E. 6</w:t>
      </w:r>
    </w:p>
    <w:p>
      <w:r>
        <w:t>Au vu de l'issue de la cause, les frais de procédure, d'un montant de 600 francs, sont mis à la charge du recourant (cf. art. 63 al. 1 PA et art. 2 et 3 let. b du règlement du 21 février 2008 concernant les frais, dépens et indemnités fixés par le Tribunal administratif fédéral [FITAF, RS 173.320.2]). Le recourant succombant sur l'entier de ses conclusions,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