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D-4881/2009 vom 10. August 2009</w:t>
      </w:r>
    </w:p>
    <w:p>
      <w:r>
        <w:t>Bundesverwaltungsgericht, 2009-08-10, DE</w:t>
      </w:r>
    </w:p>
    <w:p>
      <w:r>
        <w:rPr>
          <w:b/>
        </w:rPr>
        <w:t xml:space="preserve">Quelle: </w:t>
      </w:r>
      <w:r>
        <w:t>https://mcp.opencaselaw.ch/entscheid/bvger_D-4881_2009</w:t>
      </w:r>
    </w:p>
    <w:p>
      <w:r>
        <w:t>FR: TAF D-4881/2009 du 10 août 2009</w:t>
      </w:r>
    </w:p>
    <w:p>
      <w:r>
        <w:t>IT: TAF D-4881/2009 del 10 agosto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31-34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durch die angefochtene Verfügung besonders berührt und hat ein schutzwürdiges Interesse an deren Aufhebung. Er ist damit zur Einreichung der Beschwerde legitimiert (Art. 48 Abs. 1 VwVG).</w:t>
      </w:r>
    </w:p>
    <w:p>
      <w:r>
        <w:rPr>
          <w:b/>
        </w:rPr>
        <w:t>E. 2.2</w:t>
      </w:r>
    </w:p>
    <w:p>
      <w:r>
        <w:t>Im vorinstanzlichen Aktendossier sind keinerlei Angaben dazu enthalten, zu welchem Zeitpunkt die vom 3. Juli 2009 datierende Verfügung des BFM dem Beschwerdeführer eröffnet wurde. Indessen macht der Beschwerdeführer geltend, die angefochtene Verfügung sei seiner Rechtsvertreterin am 31. Juli 2009 durch die schweizerische Post zugestellt worden. Diesbezüglich reichte er als Beweismittel die Kopie eines Briefumschlags ein. Aus diesem geht hervor, dass die Kantonspolizei Bern der Rechtsvertreterin des Beschwerdeführers am 30. Juli 2009 eine eingeschriebene Sendung übermittelte. Diese konnte dem Beschwerdeführer somit frühestens am 31. Juli 2009 zugestellt werden. Aus der angefochtenen Verfügung ergibt sich ferner, dass das BFM die zuständigen Behörden des Kantons Bern darum bat, dem Beschwerdeführer den Entscheid auszuhändigen. Die Beweislast für die erfolgte Zustellung und deren Zeitpunkt trägt die Behörde, welche die Zustellung veranlasst hat (vgl. Felix Uhlmann/Alexandra Schwank, in: Bernhard Waldmann/Philippe Weissenberger [Hrsg.], Praxiskommentar VwVG, Zürich/Basel/Genf 2009, Art. 34, N 10). Somit ist im vorliegenden Fall angesichts des eingereichten Beweismittels und mangels anderweitiger Anhaltspunkte davon auszugehen, dass die angefochtene Verfügung dem Beschwerdeführer am 31. Juli 2009 eröffnet wurde. Die Beschwerde wurde nach dem Gesagten innert der gesetzlichen Frist (Art. 108 Abs. 2 und 5 AsylG) beim Bundesverwaltungsgericht erhoben. Auf die im Übrigen formgerecht eingereichte Beschwerde ist somit einzutreten (Art. 6 AsylG i.V.m. Art. 48 Abs. 1, Art. 50 und 52 VwVG).</w:t>
      </w:r>
    </w:p>
    <w:p>
      <w:r>
        <w:rPr>
          <w:b/>
        </w:rPr>
        <w:t>E. 3.1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besteht Anlass zur Frage, ob die Vorinstanz im Rahmen der angefochtenen Verfügung ihren Pflichten hinreichend nachgekommen ist, die sich aus dem Anspruch des Beschwerdeführers auf rechtliches Gehör ergeben.</w:t>
      </w:r>
    </w:p>
    <w:p>
      <w:r>
        <w:rPr>
          <w:b/>
        </w:rPr>
        <w:t>E. 4.1.1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4.1.2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 Hottelier, a.a.O., S. 611 ff.; Reinhold Hotz, St. Galler Kommentar zu Art. 29 BV, Rz. 34 ff.; Kölz/Häner, a.a.O., S. 119; Schefer, a.a.O., S. 300 ff.).</w:t>
      </w:r>
    </w:p>
    <w:p>
      <w:r>
        <w:rPr>
          <w:b/>
        </w:rPr>
        <w:t>E. 4.2</w:t>
      </w:r>
    </w:p>
    <w:p>
      <w:r>
        <w:t>Es ist festzustellen, dass der angefochtene Entscheid des BFM diesen Kriterien offensichtlich nicht gerecht wird. Zwar wurde dem Beschwerdeführer mit Zwischenverfügung vom 24. April 2009 das Recht gewährt, sich zur Ansicht des Bundesamts zu äussern, für die Durchführung des Asylverfahrens sei Griechenland zuständig. Indessen wird das Recht auf vorgängige Anhörung durch die Pflicht der Behörde ergänzt, die Äusserungen des Betroffenen tatsächlich zur Kenntnis zu nehmen und sich damit in der Entscheidfindung und -begründung sachgerecht auseinanderzusetzen (Bernhard Waldmann/Jürg Bickel, in: Bernhard Waldmann/Philippe Weissenberger [Hrsg.], Praxiskommentar VwVG, Zürich/Basel/Genf 2009, Art. 30, N 5; vgl. ausserdem Bernhard Waldmann/Jürg Bickel, ebd., Art. 32). In der angefochtenen Verfügung wird zwar festgehalten, dem Beschwerdeführer sei am 14. Januar (sic) sowie am 24. April 2009 das rechtliche Gehör gewährt worden. Indessen wird weder erwähnt, dass der Beschwerdeführer mit Eingabe seiner Rechtsvertreterin an das BFM vom 5. Mai 2009 zur Zwischenverfügung vom 24. April 2009 tatsächlich Stellung bezog, noch wird ausgeführt, wie er sich dabei äusserte, noch wird auf seine entsprechenden Vorbringen eingegangen. Zu erwähnen ist dabei, dass sich der Beschwerdeführer in seiner Eingabe vom 5. Mai 2009 ausdrücklich dazu äusserte, weshalb er mit einer allfälligen Ausschaffung nach Griechenland nicht einverstanden sei. Somit ist offenkundig, dass das BFM seine Pflicht zur Berücksichtigung der Vorbringen des Beschwerdeführers nicht wahrgenommen und somit dessen Anspruch auf rechtliches Gehör verletzt hat.</w:t>
      </w:r>
    </w:p>
    <w:p>
      <w:r>
        <w:rPr>
          <w:b/>
        </w:rPr>
        <w:t>E. 4.3</w:t>
      </w:r>
    </w:p>
    <w:p>
      <w:r>
        <w:t>Nach dem Gesagten ist die Beschwerde insofern gutzuheissen, als damit die Aufhebung der angefochtenen Verfügung beantragt wird, und die Sache ist zur erneuten Beurteilung an die Vorinstanz zurückzuweisen.</w:t>
      </w:r>
    </w:p>
    <w:p>
      <w:r>
        <w:rPr>
          <w:b/>
        </w:rPr>
        <w:t>E. 5</w:t>
      </w:r>
    </w:p>
    <w:p>
      <w:r>
        <w:t>Im vorliegenden Fall besteht ausserdem Anlass zu folgender Ergänzung. Wie bereits ausgeführt, wurde die vom 3. Juli 2009 datierende Verfügung des BFM dem Beschwerdeführer erst am 31. Juli 2009 eröffnet. Es ist nicht nachvollziehbar, weshalb zwischen Verfügungs- und Eröffnungsdatum eine derart lange Zeitspanne liegt, zumal gegenüber dem Beschwerdeführer bereits am 8. Juli 2009 mit entsprechender Verfügung des Migrationsdiensts des Kantons Bern die Ausschaffungshaft angeordnet wurde. Dabei erweist sich insbesondere, dass die Anordnung der Ausschaffungshaft nicht unter Beachtung der diesbezüglich geltenden gesetzlichen Bestimmungen erfolgte. Gemäss Art. 76 Abs. 1 AuG kann die zuständige Behörde die betroffene Person zur Sicherstellung des Vollzugs in Haft nehmen (oder i.Vm. Art. 75 AuG in Haft belassen), wenn ein erstinstanzlicher Weg- oder Ausweisungsentscheid eröffnet wurde. Indem die betreffende Verfügung des BFM vom 3. Juli 2009 dem Beschwerdeführer erst am 31. Juli 2009 eröffnet wurde, war diese Voraussetzung zum Zeitpunkt der Anordnung der kantonalen Behörde offensichtlich nicht erfüllt. Im Übrigen wäre auch die für die Inhaftnahme gemäss Art. 76 Abs. 1 Bst. b Ziff. 5 AuG verlangte Voraussetzung nicht erfüllt gewesen, wonach ein auf Art. 34 Abs. 2 Bst. d AsylG gestützter Wegweisungsentscheid in einer Empfangsstelle eröffnet wird: Weder erfolgte die Eröffnung in einer Empfangsstelle, noch wurde die Haft - wie in diesem Fall gesetzlich vorgesehen (Art. 80 Abs. 1 AuG) - durch das Bundesamt angeordnet. Ferner ergeben sich aus den Akten auch keinerlei Hinweise auf das Vorliegen von Gründen, die eine Vorbereitungshaft im Sinne von Art. 75 Abs. 1 AuG rechtfertigen würden. Die Ausschaffungshaft des Beschwerdeführers wurde somit offensichtlich zu Unrecht angeordnet. Aus den vorinstanzlichen Akten geht nicht hervor, ob die Haftanordnung im Sinne von Art. 80 Abs. 2-4 AuG durch eine richterliche Behörde überprüft wurde.</w:t>
      </w:r>
    </w:p>
    <w:p>
      <w:r>
        <w:rPr>
          <w:b/>
        </w:rPr>
        <w:t>E. 6.1</w:t>
      </w:r>
    </w:p>
    <w:p>
      <w:r>
        <w:t>Bei diesem Ausgang des Verfahrens sind keine Kosten zu erheben (Art. 63 Abs. 3 VwVG i.V.m. Art. 37 VGG). Das mit der Beschwerdeschrift gestellte Gesuch um Gewährung der unentgeltlichen Rechtspflege im Sinne von Art. 65 Abs. 1 VwVG erweist sich somit als gegenstandslos.</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200.--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